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2D33" w14:textId="77777777" w:rsidR="006A2E1A" w:rsidRPr="00450EFA" w:rsidRDefault="006A2E1A" w:rsidP="005B28FC">
      <w:pPr>
        <w:pStyle w:val="NormalnyWeb"/>
        <w:shd w:val="clear" w:color="auto" w:fill="FFFFFF"/>
        <w:spacing w:before="0" w:beforeAutospacing="0" w:after="240" w:afterAutospacing="0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  <w:u w:val="single"/>
        </w:rPr>
        <w:t>Informacja prasowa</w:t>
      </w:r>
      <w:r w:rsidR="00226317" w:rsidRPr="00450EFA">
        <w:rPr>
          <w:rFonts w:ascii="Calibri" w:hAnsi="Calibri" w:cs="Calibri"/>
          <w:color w:val="002060"/>
          <w:u w:val="single"/>
        </w:rPr>
        <w:t xml:space="preserve"> </w:t>
      </w:r>
      <w:r w:rsidR="007508C7" w:rsidRPr="00450EFA">
        <w:rPr>
          <w:rFonts w:ascii="Calibri" w:hAnsi="Calibri" w:cs="Calibri"/>
          <w:color w:val="002060"/>
        </w:rPr>
        <w:tab/>
      </w:r>
      <w:r w:rsidR="007508C7" w:rsidRPr="00450EFA">
        <w:rPr>
          <w:rFonts w:ascii="Calibri" w:hAnsi="Calibri" w:cs="Calibri"/>
          <w:color w:val="002060"/>
        </w:rPr>
        <w:tab/>
      </w:r>
      <w:r w:rsidR="007508C7" w:rsidRPr="00450EFA">
        <w:rPr>
          <w:rFonts w:ascii="Calibri" w:hAnsi="Calibri" w:cs="Calibri"/>
          <w:color w:val="002060"/>
        </w:rPr>
        <w:tab/>
      </w:r>
      <w:r w:rsidR="007508C7" w:rsidRPr="00450EFA">
        <w:rPr>
          <w:rFonts w:ascii="Calibri" w:hAnsi="Calibri" w:cs="Calibri"/>
          <w:color w:val="002060"/>
        </w:rPr>
        <w:tab/>
      </w:r>
      <w:r w:rsidR="007508C7" w:rsidRPr="00450EFA">
        <w:rPr>
          <w:rFonts w:ascii="Calibri" w:hAnsi="Calibri" w:cs="Calibri"/>
          <w:color w:val="002060"/>
        </w:rPr>
        <w:tab/>
      </w:r>
      <w:r w:rsidR="00A260DA" w:rsidRPr="00450EFA">
        <w:rPr>
          <w:rFonts w:ascii="Calibri" w:hAnsi="Calibri" w:cs="Calibri"/>
          <w:color w:val="002060"/>
        </w:rPr>
        <w:t xml:space="preserve">    </w:t>
      </w:r>
      <w:r w:rsidRPr="00450EFA">
        <w:rPr>
          <w:rFonts w:ascii="Calibri" w:hAnsi="Calibri" w:cs="Calibri"/>
          <w:color w:val="002060"/>
        </w:rPr>
        <w:tab/>
      </w:r>
    </w:p>
    <w:p w14:paraId="1B02F830" w14:textId="176A8FCD" w:rsidR="00692459" w:rsidRPr="00450EFA" w:rsidRDefault="00AA0D6E" w:rsidP="00C4410F">
      <w:pPr>
        <w:pStyle w:val="NormalnyWeb"/>
        <w:shd w:val="clear" w:color="auto" w:fill="FFFFFF"/>
        <w:spacing w:before="0" w:beforeAutospacing="0" w:after="240" w:afterAutospacing="0"/>
        <w:jc w:val="right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>Gdańsk,</w:t>
      </w:r>
      <w:r w:rsidR="00624A32" w:rsidRPr="00450EFA">
        <w:rPr>
          <w:rFonts w:ascii="Calibri" w:hAnsi="Calibri" w:cs="Calibri"/>
          <w:color w:val="002060"/>
        </w:rPr>
        <w:t xml:space="preserve"> </w:t>
      </w:r>
      <w:r w:rsidR="007463F2" w:rsidRPr="00450EFA">
        <w:rPr>
          <w:rFonts w:ascii="Calibri" w:hAnsi="Calibri" w:cs="Calibri"/>
          <w:color w:val="002060"/>
        </w:rPr>
        <w:t>29</w:t>
      </w:r>
      <w:r w:rsidR="006B1430" w:rsidRPr="00450EFA">
        <w:rPr>
          <w:rFonts w:ascii="Calibri" w:hAnsi="Calibri" w:cs="Calibri"/>
          <w:color w:val="002060"/>
        </w:rPr>
        <w:t xml:space="preserve"> </w:t>
      </w:r>
      <w:r w:rsidR="00985964" w:rsidRPr="00450EFA">
        <w:rPr>
          <w:rFonts w:ascii="Calibri" w:hAnsi="Calibri" w:cs="Calibri"/>
          <w:color w:val="002060"/>
        </w:rPr>
        <w:t>grudnia</w:t>
      </w:r>
      <w:r w:rsidR="001E6410" w:rsidRPr="00450EFA">
        <w:rPr>
          <w:rFonts w:ascii="Calibri" w:hAnsi="Calibri" w:cs="Calibri"/>
          <w:color w:val="002060"/>
        </w:rPr>
        <w:t xml:space="preserve"> </w:t>
      </w:r>
      <w:r w:rsidR="007508C7" w:rsidRPr="00450EFA">
        <w:rPr>
          <w:rFonts w:ascii="Calibri" w:hAnsi="Calibri" w:cs="Calibri"/>
          <w:color w:val="002060"/>
        </w:rPr>
        <w:t>202</w:t>
      </w:r>
      <w:r w:rsidR="00300D4E" w:rsidRPr="00450EFA">
        <w:rPr>
          <w:rFonts w:ascii="Calibri" w:hAnsi="Calibri" w:cs="Calibri"/>
          <w:color w:val="002060"/>
        </w:rPr>
        <w:t>5</w:t>
      </w:r>
      <w:r w:rsidR="007508C7" w:rsidRPr="00450EFA">
        <w:rPr>
          <w:rFonts w:ascii="Calibri" w:hAnsi="Calibri" w:cs="Calibri"/>
          <w:color w:val="002060"/>
        </w:rPr>
        <w:t xml:space="preserve"> </w:t>
      </w:r>
    </w:p>
    <w:p w14:paraId="6A76E6DD" w14:textId="77777777" w:rsidR="00596DC8" w:rsidRPr="00450EFA" w:rsidRDefault="00596DC8" w:rsidP="007463F2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rPr>
          <w:rFonts w:ascii="Calibri" w:hAnsi="Calibri" w:cs="Calibri"/>
          <w:color w:val="002060"/>
        </w:rPr>
      </w:pPr>
    </w:p>
    <w:p w14:paraId="29563F05" w14:textId="39C63E90" w:rsidR="0024415F" w:rsidRPr="00450EFA" w:rsidRDefault="0024415F" w:rsidP="00450EFA">
      <w:pPr>
        <w:spacing w:after="160" w:line="276" w:lineRule="auto"/>
        <w:jc w:val="center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450EFA">
        <w:rPr>
          <w:rFonts w:ascii="Calibri" w:hAnsi="Calibri" w:cs="Calibri"/>
          <w:b/>
          <w:bCs/>
          <w:color w:val="002060"/>
          <w:sz w:val="28"/>
          <w:szCs w:val="28"/>
        </w:rPr>
        <w:t>Minimalna płaca w górę, koszty też.</w:t>
      </w:r>
      <w:r w:rsidR="00450EFA">
        <w:rPr>
          <w:rFonts w:ascii="Calibri" w:hAnsi="Calibri" w:cs="Calibri"/>
          <w:b/>
          <w:bCs/>
          <w:color w:val="002060"/>
          <w:sz w:val="28"/>
          <w:szCs w:val="28"/>
        </w:rPr>
        <w:t xml:space="preserve"> </w:t>
      </w:r>
      <w:r w:rsidRPr="00450EFA">
        <w:rPr>
          <w:rFonts w:ascii="Calibri" w:hAnsi="Calibri" w:cs="Calibri"/>
          <w:b/>
          <w:bCs/>
          <w:color w:val="002060"/>
          <w:sz w:val="28"/>
          <w:szCs w:val="28"/>
        </w:rPr>
        <w:t>Kto najbardziej odczuje zmiany w 2026 roku</w:t>
      </w:r>
      <w:r w:rsidR="00450EFA">
        <w:rPr>
          <w:rFonts w:ascii="Calibri" w:hAnsi="Calibri" w:cs="Calibri"/>
          <w:b/>
          <w:bCs/>
          <w:color w:val="002060"/>
          <w:sz w:val="28"/>
          <w:szCs w:val="28"/>
        </w:rPr>
        <w:t>.</w:t>
      </w:r>
    </w:p>
    <w:p w14:paraId="45F85DC3" w14:textId="0AAC2BCE" w:rsidR="007463F2" w:rsidRPr="00450EFA" w:rsidRDefault="00450EFA" w:rsidP="007463F2">
      <w:pPr>
        <w:spacing w:after="16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CD1461">
        <w:rPr>
          <w:rFonts w:ascii="Calibri" w:hAnsi="Calibri" w:cs="Calibri"/>
          <w:b/>
          <w:bCs/>
          <w:color w:val="002060"/>
        </w:rPr>
        <w:t>Od 1 stycznia 2026 r</w:t>
      </w:r>
      <w:r>
        <w:rPr>
          <w:rFonts w:ascii="Calibri" w:hAnsi="Calibri" w:cs="Calibri"/>
          <w:b/>
          <w:bCs/>
          <w:color w:val="002060"/>
        </w:rPr>
        <w:t>.</w:t>
      </w:r>
      <w:r w:rsidRPr="00CD1461">
        <w:rPr>
          <w:rFonts w:ascii="Calibri" w:hAnsi="Calibri" w:cs="Calibri"/>
          <w:b/>
          <w:bCs/>
          <w:color w:val="002060"/>
        </w:rPr>
        <w:t xml:space="preserve"> minimalne wynagrodzenie w Polsce wzrośnie do 4 806 zł brutto, a minimalna stawka godzinowa do 31,40 zł brutto. Choć podwyżka względem 2025 r</w:t>
      </w:r>
      <w:r>
        <w:rPr>
          <w:rFonts w:ascii="Calibri" w:hAnsi="Calibri" w:cs="Calibri"/>
          <w:b/>
          <w:bCs/>
          <w:color w:val="002060"/>
        </w:rPr>
        <w:t xml:space="preserve">. </w:t>
      </w:r>
      <w:r w:rsidRPr="00CD1461">
        <w:rPr>
          <w:rFonts w:ascii="Calibri" w:hAnsi="Calibri" w:cs="Calibri"/>
          <w:b/>
          <w:bCs/>
          <w:color w:val="002060"/>
        </w:rPr>
        <w:t xml:space="preserve">wynosi „zaledwie” 140 zł brutto, dla wielu firm – zwłaszcza w branżach opartych na pracy masowej – oznacza </w:t>
      </w:r>
      <w:r>
        <w:rPr>
          <w:rFonts w:ascii="Calibri" w:hAnsi="Calibri" w:cs="Calibri"/>
          <w:b/>
          <w:bCs/>
          <w:color w:val="002060"/>
        </w:rPr>
        <w:t xml:space="preserve">to </w:t>
      </w:r>
      <w:r w:rsidRPr="00CD1461">
        <w:rPr>
          <w:rFonts w:ascii="Calibri" w:hAnsi="Calibri" w:cs="Calibri"/>
          <w:b/>
          <w:bCs/>
          <w:color w:val="002060"/>
        </w:rPr>
        <w:t>istotny wzrost kosztów. Dane GUS za 2024 r</w:t>
      </w:r>
      <w:r>
        <w:rPr>
          <w:rFonts w:ascii="Calibri" w:hAnsi="Calibri" w:cs="Calibri"/>
          <w:b/>
          <w:bCs/>
          <w:color w:val="002060"/>
        </w:rPr>
        <w:t>.</w:t>
      </w:r>
      <w:r w:rsidRPr="00CD1461">
        <w:rPr>
          <w:rFonts w:ascii="Calibri" w:hAnsi="Calibri" w:cs="Calibri"/>
          <w:b/>
          <w:bCs/>
          <w:color w:val="002060"/>
        </w:rPr>
        <w:t xml:space="preserve"> pokazują, że ponad 1,43 mln osób wciąż otrzymuje wynagrodzenie nieprzekraczające płacy minimalnej, a koncentracja takich pracowników jest wyraźna zarówno sektorowo, jak i regionalnie.</w:t>
      </w:r>
    </w:p>
    <w:p w14:paraId="65782E65" w14:textId="7462B710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>Według danych GUS, na koniec 2024 r</w:t>
      </w:r>
      <w:r w:rsidR="00450EFA">
        <w:rPr>
          <w:rFonts w:ascii="Calibri" w:hAnsi="Calibri" w:cs="Calibri"/>
          <w:color w:val="002060"/>
        </w:rPr>
        <w:t>.</w:t>
      </w:r>
      <w:r w:rsidRPr="00450EFA">
        <w:rPr>
          <w:rFonts w:ascii="Calibri" w:hAnsi="Calibri" w:cs="Calibri"/>
          <w:color w:val="002060"/>
        </w:rPr>
        <w:t xml:space="preserve"> w polskiej gospodarce narodowej </w:t>
      </w:r>
      <w:r w:rsidRPr="00450EFA">
        <w:rPr>
          <w:rFonts w:ascii="Calibri" w:hAnsi="Calibri" w:cs="Calibri"/>
          <w:b/>
          <w:bCs/>
          <w:color w:val="002060"/>
        </w:rPr>
        <w:t>1,43 mln pracowników</w:t>
      </w:r>
      <w:r w:rsidRPr="00450EFA">
        <w:rPr>
          <w:rFonts w:ascii="Calibri" w:hAnsi="Calibri" w:cs="Calibri"/>
          <w:color w:val="002060"/>
        </w:rPr>
        <w:t xml:space="preserve"> otrzymywało wynagrodzenie brutto nieprzekraczające obowiązującej wówczas płacy minimalnej. To liczba zbliżona do tej z 2023 r</w:t>
      </w:r>
      <w:r w:rsidR="00450EFA">
        <w:rPr>
          <w:rFonts w:ascii="Calibri" w:hAnsi="Calibri" w:cs="Calibri"/>
          <w:color w:val="002060"/>
        </w:rPr>
        <w:t>.</w:t>
      </w:r>
      <w:r w:rsidRPr="00450EFA">
        <w:rPr>
          <w:rFonts w:ascii="Calibri" w:hAnsi="Calibri" w:cs="Calibri"/>
          <w:color w:val="002060"/>
        </w:rPr>
        <w:t xml:space="preserve"> (1,427 mln), co pokazuje, że mimo poprawy koniunktury i wzrostu wynagrodzeń, segment pracy niskopłatnej pozostaje trwałym elementem rynku.</w:t>
      </w:r>
    </w:p>
    <w:p w14:paraId="4E98B2E8" w14:textId="37A442DD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 xml:space="preserve">Najwięcej osób pracujących za minimalne wynagrodzenie skupia się w kilku kluczowych sektorach. </w:t>
      </w:r>
      <w:r w:rsidRPr="00450EFA">
        <w:rPr>
          <w:rFonts w:ascii="Calibri" w:hAnsi="Calibri" w:cs="Calibri"/>
          <w:b/>
          <w:bCs/>
          <w:color w:val="002060"/>
        </w:rPr>
        <w:t>Handel, naprawa pojazdów oraz zakwaterowanie i gastronomia</w:t>
      </w:r>
      <w:r w:rsidRPr="00450EFA">
        <w:rPr>
          <w:rFonts w:ascii="Calibri" w:hAnsi="Calibri" w:cs="Calibri"/>
          <w:color w:val="002060"/>
        </w:rPr>
        <w:t xml:space="preserve"> to największa grupa – w 2024 r</w:t>
      </w:r>
      <w:r w:rsidR="00450EFA">
        <w:rPr>
          <w:rFonts w:ascii="Calibri" w:hAnsi="Calibri" w:cs="Calibri"/>
          <w:color w:val="002060"/>
        </w:rPr>
        <w:t>.</w:t>
      </w:r>
      <w:r w:rsidRPr="00450EFA">
        <w:rPr>
          <w:rFonts w:ascii="Calibri" w:hAnsi="Calibri" w:cs="Calibri"/>
          <w:color w:val="002060"/>
        </w:rPr>
        <w:t xml:space="preserve"> było to </w:t>
      </w:r>
      <w:r w:rsidRPr="00450EFA">
        <w:rPr>
          <w:rFonts w:ascii="Calibri" w:hAnsi="Calibri" w:cs="Calibri"/>
          <w:b/>
          <w:bCs/>
          <w:color w:val="002060"/>
        </w:rPr>
        <w:t>415 tys. osób</w:t>
      </w:r>
      <w:r w:rsidRPr="00450EFA">
        <w:rPr>
          <w:rFonts w:ascii="Calibri" w:hAnsi="Calibri" w:cs="Calibri"/>
          <w:color w:val="002060"/>
        </w:rPr>
        <w:t xml:space="preserve">. Na kolejnych miejscach znalazły się </w:t>
      </w:r>
      <w:r w:rsidRPr="00450EFA">
        <w:rPr>
          <w:rFonts w:ascii="Calibri" w:hAnsi="Calibri" w:cs="Calibri"/>
          <w:b/>
          <w:bCs/>
          <w:color w:val="002060"/>
        </w:rPr>
        <w:t>przemysł</w:t>
      </w:r>
      <w:r w:rsidRPr="00450EFA">
        <w:rPr>
          <w:rFonts w:ascii="Calibri" w:hAnsi="Calibri" w:cs="Calibri"/>
          <w:color w:val="002060"/>
        </w:rPr>
        <w:t xml:space="preserve"> (278 tys.), </w:t>
      </w:r>
      <w:r w:rsidRPr="00450EFA">
        <w:rPr>
          <w:rFonts w:ascii="Calibri" w:hAnsi="Calibri" w:cs="Calibri"/>
          <w:b/>
          <w:bCs/>
          <w:color w:val="002060"/>
        </w:rPr>
        <w:t>budownictwo</w:t>
      </w:r>
      <w:r w:rsidRPr="00450EFA">
        <w:rPr>
          <w:rFonts w:ascii="Calibri" w:hAnsi="Calibri" w:cs="Calibri"/>
          <w:color w:val="002060"/>
        </w:rPr>
        <w:t xml:space="preserve"> (221 tys.), </w:t>
      </w:r>
      <w:r w:rsidRPr="00450EFA">
        <w:rPr>
          <w:rFonts w:ascii="Calibri" w:hAnsi="Calibri" w:cs="Calibri"/>
          <w:b/>
          <w:bCs/>
          <w:color w:val="002060"/>
        </w:rPr>
        <w:t>transport i gospodarka magazynowa</w:t>
      </w:r>
      <w:r w:rsidRPr="00450EFA">
        <w:rPr>
          <w:rFonts w:ascii="Calibri" w:hAnsi="Calibri" w:cs="Calibri"/>
          <w:color w:val="002060"/>
        </w:rPr>
        <w:t xml:space="preserve"> (112 tys.) oraz </w:t>
      </w:r>
      <w:r w:rsidRPr="00450EFA">
        <w:rPr>
          <w:rFonts w:ascii="Calibri" w:hAnsi="Calibri" w:cs="Calibri"/>
          <w:b/>
          <w:bCs/>
          <w:color w:val="002060"/>
        </w:rPr>
        <w:t>działalność administrowania i usługi wspierające</w:t>
      </w:r>
      <w:r w:rsidRPr="00450EFA">
        <w:rPr>
          <w:rFonts w:ascii="Calibri" w:hAnsi="Calibri" w:cs="Calibri"/>
          <w:color w:val="002060"/>
        </w:rPr>
        <w:t xml:space="preserve"> (109 tys.). W pozostałych rodzajach działalności za minimum pracowało łącznie </w:t>
      </w:r>
      <w:r w:rsidRPr="00450EFA">
        <w:rPr>
          <w:rFonts w:ascii="Calibri" w:hAnsi="Calibri" w:cs="Calibri"/>
          <w:b/>
          <w:bCs/>
          <w:color w:val="002060"/>
        </w:rPr>
        <w:t>295 tys. osób</w:t>
      </w:r>
      <w:r w:rsidRPr="00450EFA">
        <w:rPr>
          <w:rFonts w:ascii="Calibri" w:hAnsi="Calibri" w:cs="Calibri"/>
          <w:color w:val="002060"/>
        </w:rPr>
        <w:t>.</w:t>
      </w:r>
    </w:p>
    <w:p w14:paraId="4A5F331C" w14:textId="7BAB2130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 xml:space="preserve">– </w:t>
      </w:r>
      <w:r w:rsidR="00450EFA">
        <w:rPr>
          <w:rFonts w:ascii="Calibri" w:hAnsi="Calibri" w:cs="Calibri"/>
          <w:i/>
          <w:iCs/>
          <w:color w:val="002060"/>
        </w:rPr>
        <w:t>M</w:t>
      </w:r>
      <w:r w:rsidRPr="00450EFA">
        <w:rPr>
          <w:rFonts w:ascii="Calibri" w:hAnsi="Calibri" w:cs="Calibri"/>
          <w:i/>
          <w:iCs/>
          <w:color w:val="002060"/>
        </w:rPr>
        <w:t>inimalne wynagrodzenie nie dotyczy marginesu rynku pracy, lecz całych segmentów gospodarki, które funkcjonują w oparciu o dużą skalę zatrudnienia i relatywnie niskie marże</w:t>
      </w:r>
      <w:r w:rsidRPr="00450EFA">
        <w:rPr>
          <w:rFonts w:ascii="Calibri" w:hAnsi="Calibri" w:cs="Calibri"/>
          <w:color w:val="002060"/>
        </w:rPr>
        <w:t xml:space="preserve"> – </w:t>
      </w:r>
      <w:r w:rsidRPr="00056C94">
        <w:rPr>
          <w:rFonts w:ascii="Calibri" w:hAnsi="Calibri" w:cs="Calibri"/>
          <w:b/>
          <w:bCs/>
          <w:color w:val="002060"/>
        </w:rPr>
        <w:t xml:space="preserve">komentuje </w:t>
      </w:r>
      <w:r w:rsidRPr="00450EFA">
        <w:rPr>
          <w:rFonts w:ascii="Calibri" w:hAnsi="Calibri" w:cs="Calibri"/>
          <w:b/>
          <w:bCs/>
          <w:color w:val="002060"/>
        </w:rPr>
        <w:t xml:space="preserve">Justyna Lach, Dyrektor Linii Progres HR Logistics w Grupie Progres. </w:t>
      </w:r>
      <w:r w:rsidRPr="00450EFA">
        <w:rPr>
          <w:rFonts w:ascii="Calibri" w:hAnsi="Calibri" w:cs="Calibri"/>
          <w:color w:val="002060"/>
        </w:rPr>
        <w:t xml:space="preserve">– </w:t>
      </w:r>
      <w:r w:rsidRPr="00450EFA">
        <w:rPr>
          <w:rFonts w:ascii="Calibri" w:hAnsi="Calibri" w:cs="Calibri"/>
          <w:i/>
          <w:iCs/>
          <w:color w:val="002060"/>
        </w:rPr>
        <w:t>Każda podwyżka, nawet pozornie niewielka, automatycznie przekłada się tam na realne i mierzalne koszty</w:t>
      </w:r>
      <w:r w:rsidR="00056C94">
        <w:rPr>
          <w:rFonts w:ascii="Calibri" w:hAnsi="Calibri" w:cs="Calibri"/>
          <w:i/>
          <w:iCs/>
          <w:color w:val="002060"/>
        </w:rPr>
        <w:t xml:space="preserve"> – </w:t>
      </w:r>
      <w:r w:rsidR="00056C94" w:rsidRPr="00056C94">
        <w:rPr>
          <w:rFonts w:ascii="Calibri" w:hAnsi="Calibri" w:cs="Calibri"/>
          <w:b/>
          <w:bCs/>
          <w:color w:val="002060"/>
        </w:rPr>
        <w:t>dodaje.</w:t>
      </w:r>
    </w:p>
    <w:p w14:paraId="41388945" w14:textId="77777777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50EFA">
        <w:rPr>
          <w:rFonts w:ascii="Calibri" w:hAnsi="Calibri" w:cs="Calibri"/>
          <w:b/>
          <w:bCs/>
          <w:color w:val="002060"/>
        </w:rPr>
        <w:t>Transport i logistyka pod szczególną presją kosztową</w:t>
      </w:r>
    </w:p>
    <w:p w14:paraId="3A30933D" w14:textId="748D5902" w:rsidR="0024415F" w:rsidRPr="00450EFA" w:rsidRDefault="0024415F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 xml:space="preserve">Na tle innych sektorów szczególnie wyróżnia się </w:t>
      </w:r>
      <w:r w:rsidRPr="00450EFA">
        <w:rPr>
          <w:rFonts w:ascii="Calibri" w:hAnsi="Calibri" w:cs="Calibri"/>
          <w:b/>
          <w:bCs/>
          <w:color w:val="002060"/>
        </w:rPr>
        <w:t>transport i gospodarka magazynowa</w:t>
      </w:r>
      <w:r w:rsidRPr="00450EFA">
        <w:rPr>
          <w:rFonts w:ascii="Calibri" w:hAnsi="Calibri" w:cs="Calibri"/>
          <w:color w:val="002060"/>
        </w:rPr>
        <w:t xml:space="preserve">. To jedna z niewielu branż, w której – w przeciwieństwie do przemysłu czy handlu – w 2024 roku odnotowano </w:t>
      </w:r>
      <w:r w:rsidRPr="00450EFA">
        <w:rPr>
          <w:rFonts w:ascii="Calibri" w:hAnsi="Calibri" w:cs="Calibri"/>
          <w:b/>
          <w:bCs/>
          <w:color w:val="002060"/>
        </w:rPr>
        <w:t>wzrost liczby pracowników otrzymujących wynagrodzenie na poziomie płacy minimalnej</w:t>
      </w:r>
      <w:r w:rsidRPr="00450EFA">
        <w:rPr>
          <w:rFonts w:ascii="Calibri" w:hAnsi="Calibri" w:cs="Calibri"/>
          <w:color w:val="002060"/>
        </w:rPr>
        <w:t xml:space="preserve">. W 2023 roku było to </w:t>
      </w:r>
      <w:r w:rsidRPr="00450EFA">
        <w:rPr>
          <w:rFonts w:ascii="Calibri" w:hAnsi="Calibri" w:cs="Calibri"/>
          <w:b/>
          <w:bCs/>
          <w:color w:val="002060"/>
        </w:rPr>
        <w:t>103 tys. osób</w:t>
      </w:r>
      <w:r w:rsidRPr="00450EFA">
        <w:rPr>
          <w:rFonts w:ascii="Calibri" w:hAnsi="Calibri" w:cs="Calibri"/>
          <w:color w:val="002060"/>
        </w:rPr>
        <w:t xml:space="preserve">, natomiast rok później już </w:t>
      </w:r>
      <w:r w:rsidRPr="00450EFA">
        <w:rPr>
          <w:rFonts w:ascii="Calibri" w:hAnsi="Calibri" w:cs="Calibri"/>
          <w:b/>
          <w:bCs/>
          <w:color w:val="002060"/>
        </w:rPr>
        <w:t>ponad 112 tys.</w:t>
      </w:r>
      <w:r w:rsidRPr="00450EFA">
        <w:rPr>
          <w:rFonts w:ascii="Calibri" w:hAnsi="Calibri" w:cs="Calibri"/>
          <w:color w:val="002060"/>
        </w:rPr>
        <w:t xml:space="preserve"> Oznacza to, że sektor wchodzi w okres zmian z wyraźnie większą bazą pracowników objętych bezpośrednim wpływem podwyżki.</w:t>
      </w:r>
    </w:p>
    <w:p w14:paraId="71DAB84C" w14:textId="026E4A80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lastRenderedPageBreak/>
        <w:t xml:space="preserve">– </w:t>
      </w:r>
      <w:r w:rsidRPr="00450EFA">
        <w:rPr>
          <w:rFonts w:ascii="Calibri" w:hAnsi="Calibri" w:cs="Calibri"/>
          <w:i/>
          <w:iCs/>
          <w:color w:val="002060"/>
        </w:rPr>
        <w:t>Logistyka to dziś kręgosłup wielu innych branż – od handlu po przemysł – ale jednocześnie sektor bardzo wrażliwy kosztowo. W firmach zatrudniających kilkuset czy kilka tysięcy pracowników wzrost minimalnej pensji o 140 zł brutto oznacza w skali roku dodatkowe miliony złotych obciążeń, zwłaszcza jeśli doliczymy składki i presję płacową w wyższych widełkach. Przy zatrudnieniu na takim poziomie nawet niewielki wzrost płacy minimalnej przestaje być kosmetyczną korektą. Dla wielu firm 2026 rok będzie testem zdolności do planowania kosztów pracy, optymalizacji procesów i realnej oceny modeli zatrudnienia</w:t>
      </w:r>
      <w:r w:rsidRPr="00450EFA">
        <w:rPr>
          <w:rFonts w:ascii="Calibri" w:hAnsi="Calibri" w:cs="Calibri"/>
          <w:color w:val="002060"/>
        </w:rPr>
        <w:t xml:space="preserve"> – </w:t>
      </w:r>
      <w:r w:rsidRPr="00056C94">
        <w:rPr>
          <w:rFonts w:ascii="Calibri" w:hAnsi="Calibri" w:cs="Calibri"/>
          <w:b/>
          <w:bCs/>
          <w:color w:val="002060"/>
        </w:rPr>
        <w:t>pod</w:t>
      </w:r>
      <w:r w:rsidR="00056C94">
        <w:rPr>
          <w:rFonts w:ascii="Calibri" w:hAnsi="Calibri" w:cs="Calibri"/>
          <w:b/>
          <w:bCs/>
          <w:color w:val="002060"/>
        </w:rPr>
        <w:t>kreśla</w:t>
      </w:r>
      <w:r w:rsidRPr="00056C94">
        <w:rPr>
          <w:rFonts w:ascii="Calibri" w:hAnsi="Calibri" w:cs="Calibri"/>
          <w:b/>
          <w:bCs/>
          <w:color w:val="002060"/>
        </w:rPr>
        <w:t xml:space="preserve"> J</w:t>
      </w:r>
      <w:r w:rsidRPr="00450EFA">
        <w:rPr>
          <w:rFonts w:ascii="Calibri" w:hAnsi="Calibri" w:cs="Calibri"/>
          <w:b/>
          <w:bCs/>
          <w:color w:val="002060"/>
        </w:rPr>
        <w:t>ustyna Lach</w:t>
      </w:r>
      <w:r w:rsidRPr="00450EFA">
        <w:rPr>
          <w:rFonts w:ascii="Calibri" w:hAnsi="Calibri" w:cs="Calibri"/>
          <w:color w:val="002060"/>
        </w:rPr>
        <w:t>.</w:t>
      </w:r>
    </w:p>
    <w:p w14:paraId="6EDD2B2D" w14:textId="77777777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b/>
          <w:bCs/>
          <w:color w:val="002060"/>
        </w:rPr>
      </w:pPr>
      <w:r w:rsidRPr="00450EFA">
        <w:rPr>
          <w:rFonts w:ascii="Calibri" w:hAnsi="Calibri" w:cs="Calibri"/>
          <w:b/>
          <w:bCs/>
          <w:color w:val="002060"/>
        </w:rPr>
        <w:t>Gdzie pracuje się za minimalną płacę? Różnice regionalne</w:t>
      </w:r>
    </w:p>
    <w:p w14:paraId="35CE4905" w14:textId="79F64468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 xml:space="preserve">Zróżnicowanie widoczne jest również na poziomie regionalnym. Najwięcej osób otrzymujących minimalne wynagrodzenie pracuje w województwie </w:t>
      </w:r>
      <w:r w:rsidRPr="00450EFA">
        <w:rPr>
          <w:rFonts w:ascii="Calibri" w:hAnsi="Calibri" w:cs="Calibri"/>
          <w:b/>
          <w:bCs/>
          <w:color w:val="002060"/>
        </w:rPr>
        <w:t>mazowieckim – 259 tys.</w:t>
      </w:r>
      <w:r w:rsidRPr="00450EFA">
        <w:rPr>
          <w:rFonts w:ascii="Calibri" w:hAnsi="Calibri" w:cs="Calibri"/>
          <w:color w:val="002060"/>
        </w:rPr>
        <w:t xml:space="preserve">, co wynika zarówno z wielkości rynku pracy, jak i dużej koncentracji handlu, usług oraz logistyki. Wysokie wartości notują także </w:t>
      </w:r>
      <w:r w:rsidRPr="00450EFA">
        <w:rPr>
          <w:rFonts w:ascii="Calibri" w:hAnsi="Calibri" w:cs="Calibri"/>
          <w:b/>
          <w:bCs/>
          <w:color w:val="002060"/>
        </w:rPr>
        <w:t>wielkopolskie (156 tys.)</w:t>
      </w:r>
      <w:r w:rsidRPr="00450EFA">
        <w:rPr>
          <w:rFonts w:ascii="Calibri" w:hAnsi="Calibri" w:cs="Calibri"/>
          <w:color w:val="002060"/>
        </w:rPr>
        <w:t xml:space="preserve">, </w:t>
      </w:r>
      <w:r w:rsidR="00606C7F" w:rsidRPr="00450EFA">
        <w:rPr>
          <w:rFonts w:ascii="Calibri" w:hAnsi="Calibri" w:cs="Calibri"/>
          <w:b/>
          <w:bCs/>
          <w:color w:val="002060"/>
        </w:rPr>
        <w:t>śląskie (155 tys.)</w:t>
      </w:r>
      <w:r w:rsidR="00606C7F" w:rsidRPr="00450EFA">
        <w:rPr>
          <w:rFonts w:ascii="Calibri" w:hAnsi="Calibri" w:cs="Calibri"/>
          <w:color w:val="002060"/>
        </w:rPr>
        <w:t xml:space="preserve">, </w:t>
      </w:r>
      <w:r w:rsidRPr="00450EFA">
        <w:rPr>
          <w:rFonts w:ascii="Calibri" w:hAnsi="Calibri" w:cs="Calibri"/>
          <w:b/>
          <w:bCs/>
          <w:color w:val="002060"/>
        </w:rPr>
        <w:t>małopolskie (151 tys.)</w:t>
      </w:r>
      <w:r w:rsidRPr="00450EFA">
        <w:rPr>
          <w:rFonts w:ascii="Calibri" w:hAnsi="Calibri" w:cs="Calibri"/>
          <w:color w:val="002060"/>
        </w:rPr>
        <w:t xml:space="preserve">, a także </w:t>
      </w:r>
      <w:r w:rsidRPr="00450EFA">
        <w:rPr>
          <w:rFonts w:ascii="Calibri" w:hAnsi="Calibri" w:cs="Calibri"/>
          <w:b/>
          <w:bCs/>
          <w:color w:val="002060"/>
        </w:rPr>
        <w:t>łódzkie (94 tys.)</w:t>
      </w:r>
      <w:r w:rsidR="00606C7F" w:rsidRPr="00450EFA">
        <w:rPr>
          <w:rFonts w:ascii="Calibri" w:hAnsi="Calibri" w:cs="Calibri"/>
          <w:b/>
          <w:bCs/>
          <w:color w:val="002060"/>
        </w:rPr>
        <w:t xml:space="preserve"> i pomorskie (93 tys.)</w:t>
      </w:r>
      <w:r w:rsidRPr="00450EFA">
        <w:rPr>
          <w:rFonts w:ascii="Calibri" w:hAnsi="Calibri" w:cs="Calibri"/>
          <w:color w:val="002060"/>
        </w:rPr>
        <w:t xml:space="preserve">. W środkowej części zestawienia znajdują się m.in. </w:t>
      </w:r>
      <w:r w:rsidRPr="00450EFA">
        <w:rPr>
          <w:rFonts w:ascii="Calibri" w:hAnsi="Calibri" w:cs="Calibri"/>
          <w:b/>
          <w:bCs/>
          <w:color w:val="002060"/>
        </w:rPr>
        <w:t>dolnośląskie (104 tys.)</w:t>
      </w:r>
      <w:r w:rsidRPr="00450EFA">
        <w:rPr>
          <w:rFonts w:ascii="Calibri" w:hAnsi="Calibri" w:cs="Calibri"/>
          <w:color w:val="002060"/>
        </w:rPr>
        <w:t xml:space="preserve">, </w:t>
      </w:r>
      <w:r w:rsidR="00606C7F" w:rsidRPr="00450EFA">
        <w:rPr>
          <w:rFonts w:ascii="Calibri" w:hAnsi="Calibri" w:cs="Calibri"/>
          <w:b/>
          <w:bCs/>
          <w:color w:val="002060"/>
        </w:rPr>
        <w:t>podkarpackie (69 tys.)</w:t>
      </w:r>
      <w:r w:rsidR="00606C7F" w:rsidRPr="00450EFA">
        <w:rPr>
          <w:rFonts w:ascii="Calibri" w:hAnsi="Calibri" w:cs="Calibri"/>
          <w:color w:val="002060"/>
        </w:rPr>
        <w:t xml:space="preserve">, </w:t>
      </w:r>
      <w:r w:rsidRPr="00450EFA">
        <w:rPr>
          <w:rFonts w:ascii="Calibri" w:hAnsi="Calibri" w:cs="Calibri"/>
          <w:b/>
          <w:bCs/>
          <w:color w:val="002060"/>
        </w:rPr>
        <w:t>kujawsko-pomorskie (64 tys.)</w:t>
      </w:r>
      <w:r w:rsidRPr="00450EFA">
        <w:rPr>
          <w:rFonts w:ascii="Calibri" w:hAnsi="Calibri" w:cs="Calibri"/>
          <w:color w:val="002060"/>
        </w:rPr>
        <w:t xml:space="preserve">, </w:t>
      </w:r>
      <w:r w:rsidRPr="00450EFA">
        <w:rPr>
          <w:rFonts w:ascii="Calibri" w:hAnsi="Calibri" w:cs="Calibri"/>
          <w:b/>
          <w:bCs/>
          <w:color w:val="002060"/>
        </w:rPr>
        <w:t>lubelskie (63 tys.)</w:t>
      </w:r>
      <w:r w:rsidRPr="00450EFA">
        <w:rPr>
          <w:rFonts w:ascii="Calibri" w:hAnsi="Calibri" w:cs="Calibri"/>
          <w:color w:val="002060"/>
        </w:rPr>
        <w:t xml:space="preserve">, </w:t>
      </w:r>
      <w:r w:rsidRPr="00450EFA">
        <w:rPr>
          <w:rFonts w:ascii="Calibri" w:hAnsi="Calibri" w:cs="Calibri"/>
          <w:b/>
          <w:bCs/>
          <w:color w:val="002060"/>
        </w:rPr>
        <w:t>zachodniopomorskie (52 tys.)</w:t>
      </w:r>
      <w:r w:rsidRPr="00450EFA">
        <w:rPr>
          <w:rFonts w:ascii="Calibri" w:hAnsi="Calibri" w:cs="Calibri"/>
          <w:color w:val="002060"/>
        </w:rPr>
        <w:t xml:space="preserve">, </w:t>
      </w:r>
      <w:r w:rsidRPr="00450EFA">
        <w:rPr>
          <w:rFonts w:ascii="Calibri" w:hAnsi="Calibri" w:cs="Calibri"/>
          <w:b/>
          <w:bCs/>
          <w:color w:val="002060"/>
        </w:rPr>
        <w:t>warmińsko-mazurskie (39 tys.)</w:t>
      </w:r>
      <w:r w:rsidRPr="00450EFA">
        <w:rPr>
          <w:rFonts w:ascii="Calibri" w:hAnsi="Calibri" w:cs="Calibri"/>
          <w:color w:val="002060"/>
        </w:rPr>
        <w:t xml:space="preserve"> oraz </w:t>
      </w:r>
      <w:r w:rsidRPr="00450EFA">
        <w:rPr>
          <w:rFonts w:ascii="Calibri" w:hAnsi="Calibri" w:cs="Calibri"/>
          <w:b/>
          <w:bCs/>
          <w:color w:val="002060"/>
        </w:rPr>
        <w:t>świętokrzyskie (39 tys.)</w:t>
      </w:r>
      <w:r w:rsidRPr="00450EFA">
        <w:rPr>
          <w:rFonts w:ascii="Calibri" w:hAnsi="Calibri" w:cs="Calibri"/>
          <w:color w:val="002060"/>
        </w:rPr>
        <w:t>.</w:t>
      </w:r>
    </w:p>
    <w:p w14:paraId="45D41F68" w14:textId="5F7D7053" w:rsidR="007463F2" w:rsidRPr="00450EFA" w:rsidRDefault="007463F2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 xml:space="preserve">Na drugim biegunie pozostają mniejsze rynki pracy, takie jak </w:t>
      </w:r>
      <w:r w:rsidRPr="00450EFA">
        <w:rPr>
          <w:rFonts w:ascii="Calibri" w:hAnsi="Calibri" w:cs="Calibri"/>
          <w:b/>
          <w:bCs/>
          <w:color w:val="002060"/>
        </w:rPr>
        <w:t>lubuskie (32 tys.)</w:t>
      </w:r>
      <w:r w:rsidR="00606C7F" w:rsidRPr="00450EFA">
        <w:rPr>
          <w:rFonts w:ascii="Calibri" w:hAnsi="Calibri" w:cs="Calibri"/>
          <w:color w:val="002060"/>
        </w:rPr>
        <w:t>,</w:t>
      </w:r>
      <w:r w:rsidRPr="00450EFA">
        <w:rPr>
          <w:rFonts w:ascii="Calibri" w:hAnsi="Calibri" w:cs="Calibri"/>
          <w:color w:val="002060"/>
        </w:rPr>
        <w:t xml:space="preserve"> </w:t>
      </w:r>
      <w:r w:rsidRPr="00450EFA">
        <w:rPr>
          <w:rFonts w:ascii="Calibri" w:hAnsi="Calibri" w:cs="Calibri"/>
          <w:b/>
          <w:bCs/>
          <w:color w:val="002060"/>
        </w:rPr>
        <w:t>podlaskie (32 tys.)</w:t>
      </w:r>
      <w:r w:rsidR="00606C7F" w:rsidRPr="00450EFA">
        <w:rPr>
          <w:rFonts w:ascii="Calibri" w:hAnsi="Calibri" w:cs="Calibri"/>
          <w:b/>
          <w:bCs/>
          <w:color w:val="002060"/>
        </w:rPr>
        <w:t xml:space="preserve"> i opolskie (28 tys.)</w:t>
      </w:r>
      <w:r w:rsidR="00606C7F" w:rsidRPr="00450EFA">
        <w:rPr>
          <w:rFonts w:ascii="Calibri" w:hAnsi="Calibri" w:cs="Calibri"/>
          <w:color w:val="002060"/>
        </w:rPr>
        <w:t xml:space="preserve">, </w:t>
      </w:r>
      <w:r w:rsidRPr="00450EFA">
        <w:rPr>
          <w:rFonts w:ascii="Calibri" w:hAnsi="Calibri" w:cs="Calibri"/>
          <w:color w:val="002060"/>
        </w:rPr>
        <w:t>gdzie liczba pracowników otrzymujących minimalne wynagrodzenie jest najniższa w ujęciu bezwzględnym. Nie oznacza to jednak, że skala wyzwania jest tam mniejsza. W regionach o ograniczonej liczbie dużych pracodawców i węższej strukturze branżowej płaca minimalna często stanowi punkt odniesienia dla całych widełek wynagrodzeń. W efekcie każda podwyżka minimalnego wynagrodzenia ma tam silniejszy, bardziej odczuwalny wpływ na lokalne rynki pracy, koszty prowadzenia działalności oraz decyzje zatrudnieniowe przedsiębiorców.</w:t>
      </w:r>
    </w:p>
    <w:p w14:paraId="5E92D596" w14:textId="77777777" w:rsidR="00056C94" w:rsidRDefault="00821E67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 xml:space="preserve">Z perspektywy działów HR nadchodzące zmiany oznaczają nie tylko konieczność przeliczenia budżetów, ale też ponownego uporządkowania polityk wynagrodzeń i siatek płac. </w:t>
      </w:r>
    </w:p>
    <w:p w14:paraId="00AABBC3" w14:textId="4694B178" w:rsidR="00821E67" w:rsidRPr="00450EFA" w:rsidRDefault="00056C94" w:rsidP="007463F2">
      <w:pPr>
        <w:spacing w:after="160" w:line="276" w:lineRule="auto"/>
        <w:jc w:val="both"/>
        <w:rPr>
          <w:rFonts w:ascii="Calibri" w:hAnsi="Calibri" w:cs="Calibri"/>
          <w:color w:val="002060"/>
        </w:rPr>
      </w:pPr>
      <w:r>
        <w:rPr>
          <w:rFonts w:ascii="Calibri" w:hAnsi="Calibri" w:cs="Calibri"/>
          <w:color w:val="002060"/>
        </w:rPr>
        <w:t xml:space="preserve">– </w:t>
      </w:r>
      <w:r w:rsidR="00821E67" w:rsidRPr="00056C94">
        <w:rPr>
          <w:rFonts w:ascii="Calibri" w:hAnsi="Calibri" w:cs="Calibri"/>
          <w:i/>
          <w:iCs/>
          <w:color w:val="002060"/>
        </w:rPr>
        <w:t>Podniesienie płacy minimalnej automatycznie skraca dystans między najniższymi a kolejnymi poziomami wynagrodzeń, co może rodzić napięcia wewnątrz organizacji i presję na korekty płac także wśród bardziej doświadczonych pracowników. Dla HR oznacza to potrzebę wcześniejszego planowania, rozmów z menedżerami liniowymi oraz jasnej komunikacji z zespołami, aby zmiany nie były postrzegane wyłącznie jako koszt, lecz element długofalowej strategii zatrudnienia i stabilności organizacji</w:t>
      </w:r>
      <w:r>
        <w:rPr>
          <w:rFonts w:ascii="Calibri" w:hAnsi="Calibri" w:cs="Calibri"/>
          <w:color w:val="002060"/>
        </w:rPr>
        <w:t xml:space="preserve"> – </w:t>
      </w:r>
      <w:r w:rsidRPr="00056C94">
        <w:rPr>
          <w:rFonts w:ascii="Calibri" w:hAnsi="Calibri" w:cs="Calibri"/>
          <w:b/>
          <w:bCs/>
          <w:color w:val="002060"/>
        </w:rPr>
        <w:t>podsumowuje Justyna Lach.</w:t>
      </w:r>
    </w:p>
    <w:p w14:paraId="43F8C2C9" w14:textId="562C0A21" w:rsidR="003E1F86" w:rsidRPr="00450EFA" w:rsidRDefault="003E1F86" w:rsidP="00096530">
      <w:pPr>
        <w:pStyle w:val="NormalnyWeb"/>
        <w:shd w:val="clear" w:color="auto" w:fill="FFFFFF"/>
        <w:spacing w:line="276" w:lineRule="auto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>***</w:t>
      </w:r>
    </w:p>
    <w:p w14:paraId="4C78B10E" w14:textId="77777777" w:rsidR="00692459" w:rsidRPr="00450EFA" w:rsidRDefault="00692459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</w:pPr>
      <w:r w:rsidRPr="00450EFA">
        <w:rPr>
          <w:rFonts w:ascii="Calibri" w:hAnsi="Calibri" w:cs="Calibri"/>
          <w:b/>
          <w:bCs/>
          <w:color w:val="002060"/>
          <w:sz w:val="16"/>
          <w:szCs w:val="16"/>
          <w:shd w:val="clear" w:color="auto" w:fill="FFFFFF"/>
        </w:rPr>
        <w:t xml:space="preserve">Holding Grupy Progres </w:t>
      </w:r>
      <w:r w:rsidRPr="00450EFA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t xml:space="preserve"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 granicą. Organizacja była wielokrotnie nagradzana w prestiżowych konkursach, plebiscytach i rankingach tj. m.in. Deloitte - Best Managed Companies Poland 2025, Diamenty </w:t>
      </w:r>
      <w:r w:rsidRPr="00450EFA">
        <w:rPr>
          <w:rFonts w:ascii="Calibri" w:hAnsi="Calibri" w:cs="Calibri"/>
          <w:color w:val="002060"/>
          <w:sz w:val="16"/>
          <w:szCs w:val="16"/>
          <w:shd w:val="clear" w:color="auto" w:fill="FFFFFF"/>
        </w:rPr>
        <w:lastRenderedPageBreak/>
        <w:t>Forbesa (2025 r. – laureat), Ambasador Polskiej Gospodarki BCC (2025 r.) Gazele Biznesu (2024 r. – laureat) Medal Europejski (2024 r.), Lider Polskiego Biznesu (2025 r.). Grupa Progres posiada też certyfikat Równości Płac przyznawany przez Business Center Club.</w:t>
      </w:r>
    </w:p>
    <w:p w14:paraId="56E2D912" w14:textId="24DCFA3D" w:rsidR="009F1EDC" w:rsidRPr="00450EFA" w:rsidRDefault="003E1F86" w:rsidP="003708EF">
      <w:pPr>
        <w:pStyle w:val="NormalnyWeb"/>
        <w:shd w:val="clear" w:color="auto" w:fill="FFFFFF"/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450EFA">
        <w:rPr>
          <w:rFonts w:ascii="Calibri" w:hAnsi="Calibri" w:cs="Calibri"/>
          <w:b/>
          <w:color w:val="002060"/>
          <w:sz w:val="22"/>
          <w:szCs w:val="22"/>
        </w:rPr>
        <w:t>***</w:t>
      </w:r>
    </w:p>
    <w:p w14:paraId="12417C37" w14:textId="77777777" w:rsidR="00692459" w:rsidRPr="00450E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2060"/>
        </w:rPr>
      </w:pPr>
      <w:r w:rsidRPr="00450EFA">
        <w:rPr>
          <w:rFonts w:ascii="Calibri" w:hAnsi="Calibri" w:cs="Calibri"/>
          <w:b/>
          <w:color w:val="002060"/>
        </w:rPr>
        <w:t xml:space="preserve">Biuro prasowe Grupy Progres: </w:t>
      </w:r>
    </w:p>
    <w:p w14:paraId="08966623" w14:textId="77777777" w:rsidR="00692459" w:rsidRPr="00450E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</w:rPr>
      </w:pPr>
      <w:r w:rsidRPr="00450EFA">
        <w:rPr>
          <w:rFonts w:ascii="Calibri" w:hAnsi="Calibri" w:cs="Calibri"/>
          <w:color w:val="002060"/>
        </w:rPr>
        <w:t>Kamila Tyniec</w:t>
      </w:r>
    </w:p>
    <w:p w14:paraId="3368C410" w14:textId="77777777" w:rsidR="00071FFA" w:rsidRPr="00450E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450EFA">
        <w:rPr>
          <w:rFonts w:ascii="Calibri" w:hAnsi="Calibri" w:cs="Calibri"/>
          <w:color w:val="002060"/>
          <w:lang w:val="en-US"/>
        </w:rPr>
        <w:t xml:space="preserve">e-mail: </w:t>
      </w:r>
      <w:hyperlink r:id="rId8" w:history="1">
        <w:r w:rsidRPr="00450EFA">
          <w:rPr>
            <w:rStyle w:val="Hipercze"/>
            <w:rFonts w:ascii="Calibri" w:hAnsi="Calibri" w:cs="Calibri"/>
            <w:color w:val="002060"/>
            <w:lang w:val="en-US"/>
          </w:rPr>
          <w:t>k.tyniec@bepr.pl</w:t>
        </w:r>
      </w:hyperlink>
      <w:r w:rsidR="006D016D" w:rsidRPr="00450EFA">
        <w:rPr>
          <w:rFonts w:ascii="Calibri" w:hAnsi="Calibri" w:cs="Calibri"/>
          <w:color w:val="002060"/>
          <w:lang w:val="en-US"/>
        </w:rPr>
        <w:t xml:space="preserve"> </w:t>
      </w:r>
      <w:r w:rsidR="00692459" w:rsidRPr="00450EFA">
        <w:rPr>
          <w:rFonts w:ascii="Calibri" w:hAnsi="Calibri" w:cs="Calibri"/>
          <w:color w:val="002060"/>
          <w:lang w:val="en-US"/>
        </w:rPr>
        <w:t xml:space="preserve"> </w:t>
      </w:r>
    </w:p>
    <w:p w14:paraId="089A0EF4" w14:textId="70CE3F8C" w:rsidR="00DF5583" w:rsidRPr="00450EFA" w:rsidRDefault="00E05548" w:rsidP="0069245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2060"/>
          <w:lang w:val="en-US"/>
        </w:rPr>
      </w:pPr>
      <w:r w:rsidRPr="00450EFA">
        <w:rPr>
          <w:rFonts w:ascii="Calibri" w:hAnsi="Calibri" w:cs="Calibri"/>
          <w:color w:val="002060"/>
        </w:rPr>
        <w:t xml:space="preserve">kom. </w:t>
      </w:r>
      <w:r w:rsidRPr="00450EFA">
        <w:rPr>
          <w:rFonts w:ascii="Calibri" w:hAnsi="Calibri" w:cs="Calibri"/>
          <w:color w:val="002060"/>
          <w:lang w:val="en-US"/>
        </w:rPr>
        <w:t>+48 500 690 965</w:t>
      </w:r>
    </w:p>
    <w:sectPr w:rsidR="00DF5583" w:rsidRPr="00450EFA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647D" w14:textId="77777777" w:rsidR="00F506C5" w:rsidRDefault="00F506C5" w:rsidP="00B332FF">
      <w:r>
        <w:separator/>
      </w:r>
    </w:p>
  </w:endnote>
  <w:endnote w:type="continuationSeparator" w:id="0">
    <w:p w14:paraId="02B0A776" w14:textId="77777777" w:rsidR="00F506C5" w:rsidRDefault="00F506C5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B6C1" w14:textId="77777777" w:rsidR="00F506C5" w:rsidRDefault="00F506C5" w:rsidP="00B332FF">
      <w:r>
        <w:separator/>
      </w:r>
    </w:p>
  </w:footnote>
  <w:footnote w:type="continuationSeparator" w:id="0">
    <w:p w14:paraId="17A0F76F" w14:textId="77777777" w:rsidR="00F506C5" w:rsidRDefault="00F506C5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604-01-00-389 ;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C17E7E"/>
    <w:multiLevelType w:val="multilevel"/>
    <w:tmpl w:val="F2C6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B46113"/>
    <w:multiLevelType w:val="hybridMultilevel"/>
    <w:tmpl w:val="D310B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6"/>
  </w:num>
  <w:num w:numId="3" w16cid:durableId="1714769923">
    <w:abstractNumId w:val="24"/>
  </w:num>
  <w:num w:numId="4" w16cid:durableId="2081246455">
    <w:abstractNumId w:val="6"/>
  </w:num>
  <w:num w:numId="5" w16cid:durableId="1540320976">
    <w:abstractNumId w:val="23"/>
  </w:num>
  <w:num w:numId="6" w16cid:durableId="1414085053">
    <w:abstractNumId w:val="7"/>
  </w:num>
  <w:num w:numId="7" w16cid:durableId="1214734065">
    <w:abstractNumId w:val="27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6"/>
  </w:num>
  <w:num w:numId="11" w16cid:durableId="1633288417">
    <w:abstractNumId w:val="22"/>
  </w:num>
  <w:num w:numId="12" w16cid:durableId="377634687">
    <w:abstractNumId w:val="19"/>
  </w:num>
  <w:num w:numId="13" w16cid:durableId="911044234">
    <w:abstractNumId w:val="15"/>
  </w:num>
  <w:num w:numId="14" w16cid:durableId="1137453245">
    <w:abstractNumId w:val="21"/>
  </w:num>
  <w:num w:numId="15" w16cid:durableId="470363962">
    <w:abstractNumId w:val="28"/>
  </w:num>
  <w:num w:numId="16" w16cid:durableId="1285700013">
    <w:abstractNumId w:val="13"/>
  </w:num>
  <w:num w:numId="17" w16cid:durableId="1133795825">
    <w:abstractNumId w:val="20"/>
  </w:num>
  <w:num w:numId="18" w16cid:durableId="1303537857">
    <w:abstractNumId w:val="17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31"/>
  </w:num>
  <w:num w:numId="26" w16cid:durableId="1858739647">
    <w:abstractNumId w:val="18"/>
  </w:num>
  <w:num w:numId="27" w16cid:durableId="1749188407">
    <w:abstractNumId w:val="25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4"/>
  </w:num>
  <w:num w:numId="32" w16cid:durableId="2023777928">
    <w:abstractNumId w:val="29"/>
  </w:num>
  <w:num w:numId="33" w16cid:durableId="19851158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6C94"/>
    <w:rsid w:val="00057B5E"/>
    <w:rsid w:val="00060236"/>
    <w:rsid w:val="0006282B"/>
    <w:rsid w:val="00065D23"/>
    <w:rsid w:val="000668DA"/>
    <w:rsid w:val="00067662"/>
    <w:rsid w:val="00071FFA"/>
    <w:rsid w:val="00074B37"/>
    <w:rsid w:val="000802A6"/>
    <w:rsid w:val="00080CD1"/>
    <w:rsid w:val="0008478A"/>
    <w:rsid w:val="00085F74"/>
    <w:rsid w:val="000902C0"/>
    <w:rsid w:val="000924FC"/>
    <w:rsid w:val="00096530"/>
    <w:rsid w:val="000A049C"/>
    <w:rsid w:val="000A1C28"/>
    <w:rsid w:val="000A3077"/>
    <w:rsid w:val="000A3552"/>
    <w:rsid w:val="000A6C87"/>
    <w:rsid w:val="000B0E3D"/>
    <w:rsid w:val="000B2757"/>
    <w:rsid w:val="000B2884"/>
    <w:rsid w:val="000B373F"/>
    <w:rsid w:val="000B5F38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927"/>
    <w:rsid w:val="000E1DA9"/>
    <w:rsid w:val="000E4142"/>
    <w:rsid w:val="000E6326"/>
    <w:rsid w:val="000F2E79"/>
    <w:rsid w:val="000F3308"/>
    <w:rsid w:val="000F4B4C"/>
    <w:rsid w:val="000F4CA4"/>
    <w:rsid w:val="000F50E3"/>
    <w:rsid w:val="00101036"/>
    <w:rsid w:val="00102972"/>
    <w:rsid w:val="00104DBB"/>
    <w:rsid w:val="001063AF"/>
    <w:rsid w:val="001076DD"/>
    <w:rsid w:val="00110127"/>
    <w:rsid w:val="0011242C"/>
    <w:rsid w:val="001126CB"/>
    <w:rsid w:val="00112702"/>
    <w:rsid w:val="00114250"/>
    <w:rsid w:val="001219D9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4C7C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480A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4B0"/>
    <w:rsid w:val="001E358E"/>
    <w:rsid w:val="001E6410"/>
    <w:rsid w:val="001E74E4"/>
    <w:rsid w:val="001E7FE8"/>
    <w:rsid w:val="001F03BC"/>
    <w:rsid w:val="001F14B3"/>
    <w:rsid w:val="001F2E7D"/>
    <w:rsid w:val="001F4186"/>
    <w:rsid w:val="001F5071"/>
    <w:rsid w:val="001F7C74"/>
    <w:rsid w:val="0020602B"/>
    <w:rsid w:val="002102B1"/>
    <w:rsid w:val="002102D7"/>
    <w:rsid w:val="00215C72"/>
    <w:rsid w:val="0021608E"/>
    <w:rsid w:val="00217BD9"/>
    <w:rsid w:val="00220577"/>
    <w:rsid w:val="00221DC3"/>
    <w:rsid w:val="002225C7"/>
    <w:rsid w:val="0022291A"/>
    <w:rsid w:val="00225843"/>
    <w:rsid w:val="00226317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0303"/>
    <w:rsid w:val="00241CDE"/>
    <w:rsid w:val="00243649"/>
    <w:rsid w:val="00243BF9"/>
    <w:rsid w:val="00243E90"/>
    <w:rsid w:val="0024415F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875E9"/>
    <w:rsid w:val="00292B71"/>
    <w:rsid w:val="00293D11"/>
    <w:rsid w:val="0029614E"/>
    <w:rsid w:val="00296C98"/>
    <w:rsid w:val="00296D40"/>
    <w:rsid w:val="002A1444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4124"/>
    <w:rsid w:val="002C66B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3B0E"/>
    <w:rsid w:val="002F6058"/>
    <w:rsid w:val="00300D4E"/>
    <w:rsid w:val="00301E41"/>
    <w:rsid w:val="00304703"/>
    <w:rsid w:val="00312BD2"/>
    <w:rsid w:val="0031516E"/>
    <w:rsid w:val="00315E24"/>
    <w:rsid w:val="00321C33"/>
    <w:rsid w:val="00323633"/>
    <w:rsid w:val="00326F34"/>
    <w:rsid w:val="0032786E"/>
    <w:rsid w:val="003279BE"/>
    <w:rsid w:val="0033021F"/>
    <w:rsid w:val="0033214D"/>
    <w:rsid w:val="00333D0B"/>
    <w:rsid w:val="00333FBA"/>
    <w:rsid w:val="00336C74"/>
    <w:rsid w:val="003414F1"/>
    <w:rsid w:val="0034328E"/>
    <w:rsid w:val="00345ECE"/>
    <w:rsid w:val="00346619"/>
    <w:rsid w:val="003517F9"/>
    <w:rsid w:val="00352BFB"/>
    <w:rsid w:val="00353D63"/>
    <w:rsid w:val="00355589"/>
    <w:rsid w:val="003563EC"/>
    <w:rsid w:val="0035648D"/>
    <w:rsid w:val="00356E10"/>
    <w:rsid w:val="00357736"/>
    <w:rsid w:val="00360557"/>
    <w:rsid w:val="00360B3F"/>
    <w:rsid w:val="00360E1A"/>
    <w:rsid w:val="00360E7B"/>
    <w:rsid w:val="00361517"/>
    <w:rsid w:val="003629C8"/>
    <w:rsid w:val="00363526"/>
    <w:rsid w:val="0036429B"/>
    <w:rsid w:val="0036474B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5107"/>
    <w:rsid w:val="003B708D"/>
    <w:rsid w:val="003C022A"/>
    <w:rsid w:val="003C2703"/>
    <w:rsid w:val="003C42D0"/>
    <w:rsid w:val="003C46B2"/>
    <w:rsid w:val="003C780E"/>
    <w:rsid w:val="003D054B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3F6C07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1C17"/>
    <w:rsid w:val="004323D1"/>
    <w:rsid w:val="00433555"/>
    <w:rsid w:val="00433886"/>
    <w:rsid w:val="00434122"/>
    <w:rsid w:val="0043438C"/>
    <w:rsid w:val="004354B9"/>
    <w:rsid w:val="0043565D"/>
    <w:rsid w:val="00435B11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0EFA"/>
    <w:rsid w:val="00451035"/>
    <w:rsid w:val="00451DF4"/>
    <w:rsid w:val="00460C94"/>
    <w:rsid w:val="00461272"/>
    <w:rsid w:val="00461321"/>
    <w:rsid w:val="00461C45"/>
    <w:rsid w:val="00463167"/>
    <w:rsid w:val="00465B97"/>
    <w:rsid w:val="00470A1B"/>
    <w:rsid w:val="00470A22"/>
    <w:rsid w:val="00476C4A"/>
    <w:rsid w:val="00477278"/>
    <w:rsid w:val="004774D8"/>
    <w:rsid w:val="00477F5E"/>
    <w:rsid w:val="004801AD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A7345"/>
    <w:rsid w:val="004B1707"/>
    <w:rsid w:val="004B7E12"/>
    <w:rsid w:val="004C1449"/>
    <w:rsid w:val="004C248C"/>
    <w:rsid w:val="004C681F"/>
    <w:rsid w:val="004D02EB"/>
    <w:rsid w:val="004D12DE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6F68"/>
    <w:rsid w:val="004F7ED5"/>
    <w:rsid w:val="00500DDE"/>
    <w:rsid w:val="005065B1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26B68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36B0"/>
    <w:rsid w:val="00585849"/>
    <w:rsid w:val="00587B64"/>
    <w:rsid w:val="0059056F"/>
    <w:rsid w:val="00592498"/>
    <w:rsid w:val="005927B2"/>
    <w:rsid w:val="00594EDA"/>
    <w:rsid w:val="005952CE"/>
    <w:rsid w:val="005956A4"/>
    <w:rsid w:val="00596452"/>
    <w:rsid w:val="00596DC8"/>
    <w:rsid w:val="005973BF"/>
    <w:rsid w:val="005A09C9"/>
    <w:rsid w:val="005A1F7F"/>
    <w:rsid w:val="005A212B"/>
    <w:rsid w:val="005A3F81"/>
    <w:rsid w:val="005A634F"/>
    <w:rsid w:val="005B037E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355A"/>
    <w:rsid w:val="005F6596"/>
    <w:rsid w:val="005F6ECC"/>
    <w:rsid w:val="005F7D58"/>
    <w:rsid w:val="00606C7F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3AEE"/>
    <w:rsid w:val="006450DC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92459"/>
    <w:rsid w:val="006935C2"/>
    <w:rsid w:val="00696757"/>
    <w:rsid w:val="006A1184"/>
    <w:rsid w:val="006A17E8"/>
    <w:rsid w:val="006A2CD4"/>
    <w:rsid w:val="006A2E1A"/>
    <w:rsid w:val="006B0241"/>
    <w:rsid w:val="006B1430"/>
    <w:rsid w:val="006B7FD5"/>
    <w:rsid w:val="006C0683"/>
    <w:rsid w:val="006C0A82"/>
    <w:rsid w:val="006C0EA6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4FF0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F7E"/>
    <w:rsid w:val="00745CEA"/>
    <w:rsid w:val="00745D06"/>
    <w:rsid w:val="007463F2"/>
    <w:rsid w:val="007465C3"/>
    <w:rsid w:val="00747C7C"/>
    <w:rsid w:val="007508C7"/>
    <w:rsid w:val="007520B9"/>
    <w:rsid w:val="00752FA8"/>
    <w:rsid w:val="00753078"/>
    <w:rsid w:val="00754944"/>
    <w:rsid w:val="007565E2"/>
    <w:rsid w:val="00756C63"/>
    <w:rsid w:val="007575E7"/>
    <w:rsid w:val="00760728"/>
    <w:rsid w:val="00760942"/>
    <w:rsid w:val="007638C4"/>
    <w:rsid w:val="00765409"/>
    <w:rsid w:val="00765B35"/>
    <w:rsid w:val="007676BC"/>
    <w:rsid w:val="00770154"/>
    <w:rsid w:val="0077092E"/>
    <w:rsid w:val="007716D7"/>
    <w:rsid w:val="00772E11"/>
    <w:rsid w:val="00774B2F"/>
    <w:rsid w:val="007811DB"/>
    <w:rsid w:val="00781F52"/>
    <w:rsid w:val="00783348"/>
    <w:rsid w:val="00785E03"/>
    <w:rsid w:val="007868C1"/>
    <w:rsid w:val="00790823"/>
    <w:rsid w:val="00791B84"/>
    <w:rsid w:val="0079325F"/>
    <w:rsid w:val="00794B3A"/>
    <w:rsid w:val="00795226"/>
    <w:rsid w:val="00796AE9"/>
    <w:rsid w:val="007A0A35"/>
    <w:rsid w:val="007A50D3"/>
    <w:rsid w:val="007A6828"/>
    <w:rsid w:val="007B2416"/>
    <w:rsid w:val="007B3CC1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3307"/>
    <w:rsid w:val="007D37FD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0A3D"/>
    <w:rsid w:val="00801506"/>
    <w:rsid w:val="00804413"/>
    <w:rsid w:val="00804AEC"/>
    <w:rsid w:val="00804B88"/>
    <w:rsid w:val="00805960"/>
    <w:rsid w:val="008140F1"/>
    <w:rsid w:val="008156D6"/>
    <w:rsid w:val="00816A1D"/>
    <w:rsid w:val="00817FDF"/>
    <w:rsid w:val="0082049F"/>
    <w:rsid w:val="00821E67"/>
    <w:rsid w:val="00824569"/>
    <w:rsid w:val="00830AB1"/>
    <w:rsid w:val="00835696"/>
    <w:rsid w:val="008375C6"/>
    <w:rsid w:val="00840053"/>
    <w:rsid w:val="00842A01"/>
    <w:rsid w:val="008464B2"/>
    <w:rsid w:val="00847211"/>
    <w:rsid w:val="00851356"/>
    <w:rsid w:val="008544C3"/>
    <w:rsid w:val="008561D1"/>
    <w:rsid w:val="00856A9E"/>
    <w:rsid w:val="00873462"/>
    <w:rsid w:val="008738BB"/>
    <w:rsid w:val="00874F3D"/>
    <w:rsid w:val="008777F9"/>
    <w:rsid w:val="0088277C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661"/>
    <w:rsid w:val="008B7F3E"/>
    <w:rsid w:val="008C0F1C"/>
    <w:rsid w:val="008C2406"/>
    <w:rsid w:val="008C49B6"/>
    <w:rsid w:val="008C6CA2"/>
    <w:rsid w:val="008D07D5"/>
    <w:rsid w:val="008D0ED1"/>
    <w:rsid w:val="008D2771"/>
    <w:rsid w:val="008D4275"/>
    <w:rsid w:val="008D4AE3"/>
    <w:rsid w:val="008D6766"/>
    <w:rsid w:val="008E0E59"/>
    <w:rsid w:val="008E0F0E"/>
    <w:rsid w:val="008E11FC"/>
    <w:rsid w:val="008E1876"/>
    <w:rsid w:val="008E1988"/>
    <w:rsid w:val="008E1FE5"/>
    <w:rsid w:val="008E380D"/>
    <w:rsid w:val="008E409C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1062A"/>
    <w:rsid w:val="00911CFB"/>
    <w:rsid w:val="0091269A"/>
    <w:rsid w:val="00912723"/>
    <w:rsid w:val="009157F2"/>
    <w:rsid w:val="00915B6C"/>
    <w:rsid w:val="00923A2F"/>
    <w:rsid w:val="00924527"/>
    <w:rsid w:val="00924EAB"/>
    <w:rsid w:val="00927B36"/>
    <w:rsid w:val="0093053E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336"/>
    <w:rsid w:val="009646A6"/>
    <w:rsid w:val="009660F1"/>
    <w:rsid w:val="00966636"/>
    <w:rsid w:val="0097356E"/>
    <w:rsid w:val="00974C5D"/>
    <w:rsid w:val="00981EC9"/>
    <w:rsid w:val="00982A64"/>
    <w:rsid w:val="009833BE"/>
    <w:rsid w:val="00985964"/>
    <w:rsid w:val="00990859"/>
    <w:rsid w:val="00991D81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4C94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064CB"/>
    <w:rsid w:val="00A15AD9"/>
    <w:rsid w:val="00A223AE"/>
    <w:rsid w:val="00A22AC8"/>
    <w:rsid w:val="00A24E1D"/>
    <w:rsid w:val="00A260DA"/>
    <w:rsid w:val="00A270A1"/>
    <w:rsid w:val="00A31144"/>
    <w:rsid w:val="00A3352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5B56"/>
    <w:rsid w:val="00A87B27"/>
    <w:rsid w:val="00A87FE3"/>
    <w:rsid w:val="00A90491"/>
    <w:rsid w:val="00A93D2E"/>
    <w:rsid w:val="00A94149"/>
    <w:rsid w:val="00A9666F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0FE1"/>
    <w:rsid w:val="00AE2990"/>
    <w:rsid w:val="00AE3272"/>
    <w:rsid w:val="00AE3DD7"/>
    <w:rsid w:val="00AE48F0"/>
    <w:rsid w:val="00AE52AE"/>
    <w:rsid w:val="00AE7CE0"/>
    <w:rsid w:val="00AF1CE5"/>
    <w:rsid w:val="00AF2F3E"/>
    <w:rsid w:val="00AF3CF6"/>
    <w:rsid w:val="00AF4001"/>
    <w:rsid w:val="00AF4719"/>
    <w:rsid w:val="00AF56E3"/>
    <w:rsid w:val="00AF6B84"/>
    <w:rsid w:val="00AF7D6A"/>
    <w:rsid w:val="00B001C9"/>
    <w:rsid w:val="00B03505"/>
    <w:rsid w:val="00B05E2E"/>
    <w:rsid w:val="00B073A6"/>
    <w:rsid w:val="00B13C03"/>
    <w:rsid w:val="00B17AC1"/>
    <w:rsid w:val="00B20DA7"/>
    <w:rsid w:val="00B22511"/>
    <w:rsid w:val="00B22885"/>
    <w:rsid w:val="00B23A03"/>
    <w:rsid w:val="00B248A1"/>
    <w:rsid w:val="00B24D8D"/>
    <w:rsid w:val="00B315A7"/>
    <w:rsid w:val="00B315AF"/>
    <w:rsid w:val="00B320B9"/>
    <w:rsid w:val="00B332FF"/>
    <w:rsid w:val="00B36436"/>
    <w:rsid w:val="00B40C21"/>
    <w:rsid w:val="00B4441A"/>
    <w:rsid w:val="00B47465"/>
    <w:rsid w:val="00B4763B"/>
    <w:rsid w:val="00B47FB0"/>
    <w:rsid w:val="00B521EE"/>
    <w:rsid w:val="00B540CC"/>
    <w:rsid w:val="00B54A0C"/>
    <w:rsid w:val="00B56394"/>
    <w:rsid w:val="00B569D2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4510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C7A5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43E0"/>
    <w:rsid w:val="00BF789C"/>
    <w:rsid w:val="00C0117C"/>
    <w:rsid w:val="00C029DA"/>
    <w:rsid w:val="00C02B8C"/>
    <w:rsid w:val="00C05320"/>
    <w:rsid w:val="00C0599C"/>
    <w:rsid w:val="00C068CE"/>
    <w:rsid w:val="00C11E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7FA"/>
    <w:rsid w:val="00C43E70"/>
    <w:rsid w:val="00C4410F"/>
    <w:rsid w:val="00C45C6B"/>
    <w:rsid w:val="00C467A0"/>
    <w:rsid w:val="00C47088"/>
    <w:rsid w:val="00C4774C"/>
    <w:rsid w:val="00C50E5D"/>
    <w:rsid w:val="00C60A32"/>
    <w:rsid w:val="00C6105B"/>
    <w:rsid w:val="00C612B4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14900"/>
    <w:rsid w:val="00D164F1"/>
    <w:rsid w:val="00D20821"/>
    <w:rsid w:val="00D24642"/>
    <w:rsid w:val="00D27155"/>
    <w:rsid w:val="00D345FF"/>
    <w:rsid w:val="00D3498E"/>
    <w:rsid w:val="00D34EC7"/>
    <w:rsid w:val="00D36E05"/>
    <w:rsid w:val="00D428F8"/>
    <w:rsid w:val="00D44000"/>
    <w:rsid w:val="00D44DBD"/>
    <w:rsid w:val="00D52E9C"/>
    <w:rsid w:val="00D57FDF"/>
    <w:rsid w:val="00D605F9"/>
    <w:rsid w:val="00D60BBD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1630"/>
    <w:rsid w:val="00D74DF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0565"/>
    <w:rsid w:val="00DD25D9"/>
    <w:rsid w:val="00DD2D35"/>
    <w:rsid w:val="00DD4FB9"/>
    <w:rsid w:val="00DD6DBA"/>
    <w:rsid w:val="00DF23DC"/>
    <w:rsid w:val="00DF2BE8"/>
    <w:rsid w:val="00DF5583"/>
    <w:rsid w:val="00E00EFD"/>
    <w:rsid w:val="00E017EC"/>
    <w:rsid w:val="00E03C52"/>
    <w:rsid w:val="00E05548"/>
    <w:rsid w:val="00E07EAA"/>
    <w:rsid w:val="00E123DB"/>
    <w:rsid w:val="00E12F4F"/>
    <w:rsid w:val="00E13061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37ADE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4DCE"/>
    <w:rsid w:val="00EB52F7"/>
    <w:rsid w:val="00EC09DE"/>
    <w:rsid w:val="00EC578E"/>
    <w:rsid w:val="00EC5AB1"/>
    <w:rsid w:val="00EC6FD3"/>
    <w:rsid w:val="00EC74E8"/>
    <w:rsid w:val="00ED1144"/>
    <w:rsid w:val="00ED1C77"/>
    <w:rsid w:val="00ED1DBF"/>
    <w:rsid w:val="00ED2886"/>
    <w:rsid w:val="00ED2E5E"/>
    <w:rsid w:val="00ED3B00"/>
    <w:rsid w:val="00ED62E3"/>
    <w:rsid w:val="00ED73F3"/>
    <w:rsid w:val="00ED7494"/>
    <w:rsid w:val="00EE13E6"/>
    <w:rsid w:val="00EE292E"/>
    <w:rsid w:val="00EE345C"/>
    <w:rsid w:val="00EE6B69"/>
    <w:rsid w:val="00EF1D20"/>
    <w:rsid w:val="00EF2873"/>
    <w:rsid w:val="00EF62CE"/>
    <w:rsid w:val="00EF6665"/>
    <w:rsid w:val="00F013D7"/>
    <w:rsid w:val="00F0660F"/>
    <w:rsid w:val="00F1211C"/>
    <w:rsid w:val="00F125CF"/>
    <w:rsid w:val="00F13302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6C5"/>
    <w:rsid w:val="00F50A10"/>
    <w:rsid w:val="00F51440"/>
    <w:rsid w:val="00F52FD7"/>
    <w:rsid w:val="00F549BC"/>
    <w:rsid w:val="00F54BC8"/>
    <w:rsid w:val="00F60908"/>
    <w:rsid w:val="00F60D97"/>
    <w:rsid w:val="00F6330B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74BE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20A"/>
    <w:rsid w:val="00FD5D29"/>
    <w:rsid w:val="00FD6D61"/>
    <w:rsid w:val="00FE0846"/>
    <w:rsid w:val="00FE088A"/>
    <w:rsid w:val="00FE0D1B"/>
    <w:rsid w:val="00FE13C8"/>
    <w:rsid w:val="00FE1FF2"/>
    <w:rsid w:val="00FE4C3A"/>
    <w:rsid w:val="00FE517A"/>
    <w:rsid w:val="00FE755A"/>
    <w:rsid w:val="00FF0190"/>
    <w:rsid w:val="00FF038F"/>
    <w:rsid w:val="00FF1A74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8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1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2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4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5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15</cp:revision>
  <cp:lastPrinted>2025-10-14T15:01:00Z</cp:lastPrinted>
  <dcterms:created xsi:type="dcterms:W3CDTF">2025-12-05T11:11:00Z</dcterms:created>
  <dcterms:modified xsi:type="dcterms:W3CDTF">2025-12-19T11:51:00Z</dcterms:modified>
</cp:coreProperties>
</file>