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1B95" w14:textId="785C8445" w:rsidR="00EF0549" w:rsidRPr="00EF0549" w:rsidRDefault="00FB77FC" w:rsidP="00EF0549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color w:val="002060"/>
        </w:rPr>
      </w:pPr>
      <w:r w:rsidRPr="001678BC">
        <w:rPr>
          <w:rFonts w:asciiTheme="minorHAnsi" w:hAnsiTheme="minorHAnsi" w:cstheme="minorHAnsi"/>
          <w:color w:val="002060"/>
          <w:u w:val="single"/>
        </w:rPr>
        <w:t>Informacja prasowa</w:t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7508C7" w:rsidRPr="001678BC">
        <w:rPr>
          <w:rFonts w:asciiTheme="minorHAnsi" w:hAnsiTheme="minorHAnsi" w:cstheme="minorHAnsi"/>
          <w:color w:val="002060"/>
        </w:rPr>
        <w:tab/>
      </w:r>
      <w:r w:rsidR="003E2B3B" w:rsidRPr="001678BC">
        <w:rPr>
          <w:rFonts w:asciiTheme="minorHAnsi" w:hAnsiTheme="minorHAnsi" w:cstheme="minorHAnsi"/>
          <w:color w:val="002060"/>
        </w:rPr>
        <w:t xml:space="preserve"> </w:t>
      </w:r>
      <w:r w:rsidR="00F743A3" w:rsidRPr="001678BC">
        <w:rPr>
          <w:rFonts w:asciiTheme="minorHAnsi" w:hAnsiTheme="minorHAnsi" w:cstheme="minorHAnsi"/>
          <w:color w:val="002060"/>
        </w:rPr>
        <w:t xml:space="preserve">  </w:t>
      </w:r>
      <w:r w:rsidR="00AA0D6E" w:rsidRPr="001678BC">
        <w:rPr>
          <w:rFonts w:asciiTheme="minorHAnsi" w:hAnsiTheme="minorHAnsi" w:cstheme="minorHAnsi"/>
          <w:color w:val="002060"/>
        </w:rPr>
        <w:t>Gdańsk,</w:t>
      </w:r>
      <w:r w:rsidR="00AD65C2">
        <w:rPr>
          <w:rFonts w:asciiTheme="minorHAnsi" w:hAnsiTheme="minorHAnsi" w:cstheme="minorHAnsi"/>
          <w:color w:val="002060"/>
        </w:rPr>
        <w:t xml:space="preserve"> </w:t>
      </w:r>
      <w:r w:rsidR="006737F1">
        <w:rPr>
          <w:rFonts w:asciiTheme="minorHAnsi" w:hAnsiTheme="minorHAnsi" w:cstheme="minorHAnsi"/>
          <w:color w:val="002060"/>
        </w:rPr>
        <w:t>1</w:t>
      </w:r>
      <w:r w:rsidR="00173873">
        <w:rPr>
          <w:rFonts w:asciiTheme="minorHAnsi" w:hAnsiTheme="minorHAnsi" w:cstheme="minorHAnsi"/>
          <w:color w:val="002060"/>
        </w:rPr>
        <w:t>8</w:t>
      </w:r>
      <w:r w:rsidR="00E65757">
        <w:rPr>
          <w:rFonts w:asciiTheme="minorHAnsi" w:hAnsiTheme="minorHAnsi" w:cstheme="minorHAnsi"/>
          <w:color w:val="002060"/>
        </w:rPr>
        <w:t xml:space="preserve"> września </w:t>
      </w:r>
      <w:r w:rsidR="007508C7" w:rsidRPr="001678BC">
        <w:rPr>
          <w:rFonts w:asciiTheme="minorHAnsi" w:hAnsiTheme="minorHAnsi" w:cstheme="minorHAnsi"/>
          <w:color w:val="002060"/>
        </w:rPr>
        <w:t>202</w:t>
      </w:r>
      <w:r w:rsidR="00300D4E" w:rsidRPr="001678BC">
        <w:rPr>
          <w:rFonts w:asciiTheme="minorHAnsi" w:hAnsiTheme="minorHAnsi" w:cstheme="minorHAnsi"/>
          <w:color w:val="002060"/>
        </w:rPr>
        <w:t>5</w:t>
      </w:r>
      <w:r w:rsidR="007508C7" w:rsidRPr="001678BC">
        <w:rPr>
          <w:rFonts w:asciiTheme="minorHAnsi" w:hAnsiTheme="minorHAnsi" w:cstheme="minorHAnsi"/>
          <w:color w:val="002060"/>
        </w:rPr>
        <w:t xml:space="preserve"> </w:t>
      </w:r>
    </w:p>
    <w:p w14:paraId="6CAA6128" w14:textId="77777777" w:rsidR="008D7F9C" w:rsidRDefault="008D7F9C" w:rsidP="004244F3">
      <w:pPr>
        <w:spacing w:line="276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626459B7" w14:textId="77777777" w:rsidR="001228E9" w:rsidRDefault="001228E9" w:rsidP="004244F3">
      <w:pPr>
        <w:spacing w:line="276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56B7A6C7" w14:textId="30606268" w:rsidR="00E65757" w:rsidRDefault="004244F3" w:rsidP="008D7F9C">
      <w:pPr>
        <w:spacing w:line="276" w:lineRule="auto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>Polsk</w:t>
      </w:r>
      <w:r w:rsidR="008D7F9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ie firmy </w:t>
      </w:r>
      <w:r>
        <w:rPr>
          <w:rFonts w:asciiTheme="minorHAnsi" w:hAnsiTheme="minorHAnsi" w:cstheme="minorHAnsi"/>
          <w:b/>
          <w:bCs/>
          <w:color w:val="002060"/>
          <w:sz w:val="28"/>
          <w:szCs w:val="28"/>
        </w:rPr>
        <w:t>wypadkow</w:t>
      </w:r>
      <w:r w:rsidR="008D7F9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e </w:t>
      </w:r>
      <w:r w:rsidR="007D477E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– nieprzeszkoleni</w:t>
      </w:r>
      <w:r w:rsidR="008D7F9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, </w:t>
      </w:r>
      <w:r w:rsidR="007D477E">
        <w:rPr>
          <w:rFonts w:asciiTheme="minorHAnsi" w:hAnsiTheme="minorHAnsi" w:cstheme="minorHAnsi"/>
          <w:b/>
          <w:bCs/>
          <w:color w:val="002060"/>
          <w:sz w:val="28"/>
          <w:szCs w:val="28"/>
        </w:rPr>
        <w:t>niedoinformowani pracownicy</w:t>
      </w:r>
      <w:r w:rsidR="008D7F9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, przełożeni na bakier z </w:t>
      </w:r>
      <w:proofErr w:type="spellStart"/>
      <w:r w:rsidR="008D7F9C">
        <w:rPr>
          <w:rFonts w:asciiTheme="minorHAnsi" w:hAnsiTheme="minorHAnsi" w:cstheme="minorHAnsi"/>
          <w:b/>
          <w:bCs/>
          <w:color w:val="002060"/>
          <w:sz w:val="28"/>
          <w:szCs w:val="28"/>
        </w:rPr>
        <w:t>onboardingiem</w:t>
      </w:r>
      <w:proofErr w:type="spellEnd"/>
      <w:r w:rsidR="008D7F9C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i zasadami BHP</w:t>
      </w:r>
    </w:p>
    <w:p w14:paraId="3702F2F7" w14:textId="77777777" w:rsidR="00972E58" w:rsidRDefault="00972E58" w:rsidP="00EF0549">
      <w:pPr>
        <w:spacing w:line="276" w:lineRule="auto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124B3B72" w14:textId="77777777" w:rsidR="001228E9" w:rsidRDefault="001228E9" w:rsidP="00EF0549">
      <w:pPr>
        <w:spacing w:line="276" w:lineRule="auto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6F5F9C91" w14:textId="420665FB" w:rsidR="001228E9" w:rsidRDefault="006737F1" w:rsidP="00505414">
      <w:pPr>
        <w:spacing w:line="276" w:lineRule="auto"/>
        <w:jc w:val="both"/>
        <w:rPr>
          <w:rFonts w:ascii="Calibri" w:hAnsi="Calibri" w:cs="Calibri"/>
          <w:b/>
          <w:bCs/>
          <w:color w:val="002060"/>
          <w:shd w:val="clear" w:color="auto" w:fill="FFFFFF"/>
        </w:rPr>
      </w:pP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>W pierwszej połowie 2025 r</w:t>
      </w:r>
      <w:r w:rsidR="00972E58">
        <w:rPr>
          <w:rFonts w:ascii="Calibri" w:hAnsi="Calibri" w:cs="Calibri"/>
          <w:b/>
          <w:bCs/>
          <w:color w:val="002060"/>
          <w:shd w:val="clear" w:color="auto" w:fill="FFFFFF"/>
        </w:rPr>
        <w:t>.</w:t>
      </w: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 xml:space="preserve"> w Polsce doszło do ponad trzydziestu tysięcy wypadków przy pracy – wynika z danych </w:t>
      </w:r>
      <w:r w:rsidR="00930992">
        <w:rPr>
          <w:rFonts w:ascii="Calibri" w:hAnsi="Calibri" w:cs="Calibri"/>
          <w:b/>
          <w:bCs/>
          <w:color w:val="002060"/>
          <w:shd w:val="clear" w:color="auto" w:fill="FFFFFF"/>
        </w:rPr>
        <w:t>GUS</w:t>
      </w: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 xml:space="preserve">. </w:t>
      </w:r>
      <w:r>
        <w:rPr>
          <w:rFonts w:ascii="Calibri" w:hAnsi="Calibri" w:cs="Calibri"/>
          <w:b/>
          <w:bCs/>
          <w:color w:val="002060"/>
          <w:shd w:val="clear" w:color="auto" w:fill="FFFFFF"/>
        </w:rPr>
        <w:t>Najwyższe wskaźniki wypadkowości odnotowano w woj. opolskim, śląskim i warmińsko-mazurskim</w:t>
      </w: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 xml:space="preserve">. </w:t>
      </w:r>
      <w:r>
        <w:rPr>
          <w:rFonts w:ascii="Calibri" w:hAnsi="Calibri" w:cs="Calibri"/>
          <w:b/>
          <w:bCs/>
          <w:color w:val="002060"/>
          <w:shd w:val="clear" w:color="auto" w:fill="FFFFFF"/>
        </w:rPr>
        <w:t xml:space="preserve">Do nieszczęśliwych zdarzeń w trakcie wykonywania obowiązków najczęściej </w:t>
      </w: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>dochodziło w sektorach</w:t>
      </w:r>
      <w:r>
        <w:rPr>
          <w:rFonts w:ascii="Calibri" w:hAnsi="Calibri" w:cs="Calibri"/>
          <w:b/>
          <w:bCs/>
          <w:color w:val="002060"/>
          <w:shd w:val="clear" w:color="auto" w:fill="FFFFFF"/>
        </w:rPr>
        <w:t xml:space="preserve">: </w:t>
      </w: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>przemysłowy</w:t>
      </w:r>
      <w:r>
        <w:rPr>
          <w:rFonts w:ascii="Calibri" w:hAnsi="Calibri" w:cs="Calibri"/>
          <w:b/>
          <w:bCs/>
          <w:color w:val="002060"/>
          <w:shd w:val="clear" w:color="auto" w:fill="FFFFFF"/>
        </w:rPr>
        <w:t>m</w:t>
      </w: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>, usługowy</w:t>
      </w:r>
      <w:r>
        <w:rPr>
          <w:rFonts w:ascii="Calibri" w:hAnsi="Calibri" w:cs="Calibri"/>
          <w:b/>
          <w:bCs/>
          <w:color w:val="002060"/>
          <w:shd w:val="clear" w:color="auto" w:fill="FFFFFF"/>
        </w:rPr>
        <w:t>m</w:t>
      </w: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 xml:space="preserve"> i budowlany</w:t>
      </w:r>
      <w:r>
        <w:rPr>
          <w:rFonts w:ascii="Calibri" w:hAnsi="Calibri" w:cs="Calibri"/>
          <w:b/>
          <w:bCs/>
          <w:color w:val="002060"/>
          <w:shd w:val="clear" w:color="auto" w:fill="FFFFFF"/>
        </w:rPr>
        <w:t>m</w:t>
      </w:r>
      <w:r w:rsidRPr="006737F1">
        <w:rPr>
          <w:rFonts w:ascii="Calibri" w:hAnsi="Calibri" w:cs="Calibri"/>
          <w:b/>
          <w:bCs/>
          <w:color w:val="002060"/>
          <w:shd w:val="clear" w:color="auto" w:fill="FFFFFF"/>
        </w:rPr>
        <w:t>, a główną przyczyną</w:t>
      </w:r>
      <w:r w:rsidR="00972E58">
        <w:rPr>
          <w:rFonts w:ascii="Calibri" w:hAnsi="Calibri" w:cs="Calibri"/>
          <w:b/>
          <w:bCs/>
          <w:color w:val="002060"/>
          <w:shd w:val="clear" w:color="auto" w:fill="FFFFFF"/>
        </w:rPr>
        <w:t xml:space="preserve"> </w:t>
      </w:r>
      <w:r w:rsidR="007D477E">
        <w:rPr>
          <w:rFonts w:ascii="Calibri" w:hAnsi="Calibri" w:cs="Calibri"/>
          <w:b/>
          <w:bCs/>
          <w:color w:val="002060"/>
          <w:shd w:val="clear" w:color="auto" w:fill="FFFFFF"/>
        </w:rPr>
        <w:t xml:space="preserve">wypadków </w:t>
      </w:r>
      <w:r>
        <w:rPr>
          <w:rFonts w:ascii="Calibri" w:hAnsi="Calibri" w:cs="Calibri"/>
          <w:b/>
          <w:bCs/>
          <w:color w:val="002060"/>
          <w:shd w:val="clear" w:color="auto" w:fill="FFFFFF"/>
        </w:rPr>
        <w:t>(41,8%</w:t>
      </w:r>
      <w:r w:rsidRPr="00505414">
        <w:rPr>
          <w:rFonts w:ascii="Calibri" w:hAnsi="Calibri" w:cs="Calibri"/>
          <w:b/>
          <w:bCs/>
          <w:color w:val="002060"/>
          <w:shd w:val="clear" w:color="auto" w:fill="FFFFFF"/>
        </w:rPr>
        <w:t xml:space="preserve">) pozostaje </w:t>
      </w:r>
      <w:r w:rsidR="00505414" w:rsidRPr="00505414">
        <w:rPr>
          <w:rFonts w:ascii="Calibri" w:hAnsi="Calibri" w:cs="Calibri"/>
          <w:b/>
          <w:bCs/>
          <w:color w:val="002060"/>
          <w:shd w:val="clear" w:color="auto" w:fill="FFFFFF"/>
        </w:rPr>
        <w:t>nieprawidłowe zachowanie pracownika.</w:t>
      </w:r>
      <w:r w:rsidR="0079280D">
        <w:rPr>
          <w:rFonts w:ascii="Calibri" w:hAnsi="Calibri" w:cs="Calibri"/>
          <w:b/>
          <w:bCs/>
          <w:color w:val="002060"/>
          <w:shd w:val="clear" w:color="auto" w:fill="FFFFFF"/>
        </w:rPr>
        <w:t xml:space="preserve"> B</w:t>
      </w:r>
      <w:r w:rsidR="0079280D" w:rsidRPr="00505414">
        <w:rPr>
          <w:rFonts w:ascii="Calibri" w:hAnsi="Calibri" w:cs="Calibri"/>
          <w:b/>
          <w:bCs/>
          <w:color w:val="002060"/>
          <w:shd w:val="clear" w:color="auto" w:fill="FFFFFF"/>
        </w:rPr>
        <w:t>rak odpowiedniego wdrożenia zwiększa ryzyko błędów i lekceważenia zasad bezpieczeństwa – a to bezpośrednio przekłada się na liczbę urazów i absencji.</w:t>
      </w:r>
      <w:r w:rsidR="00505414" w:rsidRPr="00505414">
        <w:rPr>
          <w:rFonts w:ascii="Calibri" w:hAnsi="Calibri" w:cs="Calibri"/>
          <w:b/>
          <w:bCs/>
          <w:color w:val="002060"/>
          <w:shd w:val="clear" w:color="auto" w:fill="FFFFFF"/>
        </w:rPr>
        <w:t xml:space="preserve"> Tymczasem, według badania Grupy Progres, tylko co drugi zatrudniony przechodzi onboarding przy podejmowaniu nowej pracy. </w:t>
      </w:r>
    </w:p>
    <w:p w14:paraId="0C3C6559" w14:textId="77777777" w:rsidR="00541453" w:rsidRPr="00C27695" w:rsidRDefault="00541453" w:rsidP="00505414">
      <w:pPr>
        <w:spacing w:line="276" w:lineRule="auto"/>
        <w:jc w:val="both"/>
        <w:rPr>
          <w:rFonts w:ascii="Calibri" w:hAnsi="Calibri" w:cs="Calibri"/>
          <w:b/>
          <w:bCs/>
          <w:color w:val="002060"/>
          <w:shd w:val="clear" w:color="auto" w:fill="FFFFFF"/>
        </w:rPr>
      </w:pPr>
    </w:p>
    <w:p w14:paraId="1E0827C9" w14:textId="7DAAC178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Ponad 30,6 tys. osób ucierpiało w wypadkach przy pracy w Polsce w I połowie 2025 r. – pokazują dane GUS.</w:t>
      </w:r>
    </w:p>
    <w:p w14:paraId="0AA684CD" w14:textId="28F79460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W sumie pracownicy spędzili na zwolnieniach ponad 848 tys. dni – średnio 28 dni absencji na osobę.</w:t>
      </w:r>
    </w:p>
    <w:p w14:paraId="3366E652" w14:textId="006F3718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Najdłużej dochodzili do zdrowia zatrudnieni w górnictwie (48,9 dnia) i budownictwie (38,5 dnia).</w:t>
      </w:r>
    </w:p>
    <w:p w14:paraId="1CB517CB" w14:textId="64404BA7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Najczęściej do wypadków prowadziło nieprawidłowe zachowanie pracownika (41,8%), a dopiero później błędy organizacyjne czy techniczne.</w:t>
      </w:r>
    </w:p>
    <w:p w14:paraId="44BD574D" w14:textId="351DBD0F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Choć 72% firm deklaruje prowadzenie onboardingu, tylko 51% pracowników faktycznie przeszło szkolenie wstępne.</w:t>
      </w:r>
    </w:p>
    <w:p w14:paraId="3EEB88B9" w14:textId="587DA599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Najwyższe wskaźniki wypadkowości odnotowano w woj. opolskim (2,97/1000 pracujących) i śląskim (2,94).</w:t>
      </w:r>
    </w:p>
    <w:p w14:paraId="40C2EF3B" w14:textId="18F311D9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Najbardziej ryzykowne sektory to górnictwo (7,78/1000), dostawa wody i gospodarka odpadami (5,50) oraz przetwórstwo przemysłowe (3,40).</w:t>
      </w:r>
    </w:p>
    <w:p w14:paraId="3DB10F42" w14:textId="65385CA4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9353 poszkodowanych odnotowano w samym przetwórstwie przemysłowym – to najwięcej ze ws</w:t>
      </w:r>
      <w:r w:rsidRPr="00C27695">
        <w:rPr>
          <w:color w:val="002060"/>
          <w:shd w:val="clear" w:color="auto" w:fill="FFFFFF"/>
        </w:rPr>
        <w:t>z</w:t>
      </w:r>
      <w:r w:rsidRPr="00C27695">
        <w:rPr>
          <w:color w:val="002060"/>
          <w:shd w:val="clear" w:color="auto" w:fill="FFFFFF"/>
        </w:rPr>
        <w:t>ystkich branż.</w:t>
      </w:r>
    </w:p>
    <w:p w14:paraId="2C130DE9" w14:textId="5B6264A6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Coraz częściej firmy produkcyjne stawiają na tablice bezwypadkowe, które motywują pracowników i przypominają o bezpieczeństwie.</w:t>
      </w:r>
    </w:p>
    <w:p w14:paraId="6123C424" w14:textId="72096128" w:rsidR="00541453" w:rsidRPr="00C27695" w:rsidRDefault="00541453" w:rsidP="00541453">
      <w:pPr>
        <w:pStyle w:val="Akapitzlist"/>
        <w:numPr>
          <w:ilvl w:val="0"/>
          <w:numId w:val="41"/>
        </w:numPr>
        <w:spacing w:line="276" w:lineRule="auto"/>
        <w:jc w:val="both"/>
        <w:rPr>
          <w:color w:val="002060"/>
          <w:shd w:val="clear" w:color="auto" w:fill="FFFFFF"/>
        </w:rPr>
      </w:pPr>
      <w:r w:rsidRPr="00C27695">
        <w:rPr>
          <w:color w:val="002060"/>
          <w:shd w:val="clear" w:color="auto" w:fill="FFFFFF"/>
        </w:rPr>
        <w:t>Wypadki zdarzają się także w trakcie delegacji – kluczowe jest posiadanie EKUZ wydanego na cele zawodowe.</w:t>
      </w:r>
    </w:p>
    <w:p w14:paraId="48DBF157" w14:textId="7FF88685" w:rsidR="00F16E81" w:rsidRPr="00F16E81" w:rsidRDefault="00505414" w:rsidP="005C0701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C27695">
        <w:rPr>
          <w:rFonts w:ascii="Calibri" w:hAnsi="Calibri" w:cs="Calibri"/>
          <w:color w:val="002060"/>
        </w:rPr>
        <w:t xml:space="preserve">Ponad 30,6 tysiąca pracowników </w:t>
      </w:r>
      <w:r w:rsidRPr="00505414">
        <w:rPr>
          <w:rFonts w:ascii="Calibri" w:hAnsi="Calibri" w:cs="Calibri"/>
          <w:color w:val="002060"/>
        </w:rPr>
        <w:t xml:space="preserve">w Polsce ucierpiało w wypadkach przy pracy w pierwszej połowie 2025 roku (GUS). Statystyki są alarmujące nie tylko ze względu na liczbę zdarzeń, ale </w:t>
      </w:r>
      <w:r w:rsidRPr="00505414">
        <w:rPr>
          <w:rFonts w:ascii="Calibri" w:hAnsi="Calibri" w:cs="Calibri"/>
          <w:color w:val="002060"/>
        </w:rPr>
        <w:lastRenderedPageBreak/>
        <w:t>także konsekwencje</w:t>
      </w:r>
      <w:r>
        <w:rPr>
          <w:rFonts w:ascii="Calibri" w:hAnsi="Calibri" w:cs="Calibri"/>
          <w:color w:val="002060"/>
        </w:rPr>
        <w:t xml:space="preserve"> – </w:t>
      </w:r>
      <w:r w:rsidR="0079280D">
        <w:rPr>
          <w:rFonts w:ascii="Calibri" w:hAnsi="Calibri" w:cs="Calibri"/>
          <w:color w:val="002060"/>
        </w:rPr>
        <w:t xml:space="preserve">w sumie </w:t>
      </w:r>
      <w:r w:rsidRPr="00505414">
        <w:rPr>
          <w:rFonts w:ascii="Calibri" w:hAnsi="Calibri" w:cs="Calibri"/>
          <w:color w:val="002060"/>
        </w:rPr>
        <w:t>848</w:t>
      </w:r>
      <w:r w:rsidR="00F16E81">
        <w:rPr>
          <w:rFonts w:ascii="Calibri" w:hAnsi="Calibri" w:cs="Calibri"/>
          <w:color w:val="002060"/>
        </w:rPr>
        <w:t xml:space="preserve"> </w:t>
      </w:r>
      <w:r w:rsidRPr="00505414">
        <w:rPr>
          <w:rFonts w:ascii="Calibri" w:hAnsi="Calibri" w:cs="Calibri"/>
          <w:color w:val="002060"/>
        </w:rPr>
        <w:t>825</w:t>
      </w:r>
      <w:r>
        <w:rPr>
          <w:rFonts w:ascii="Calibri" w:hAnsi="Calibri" w:cs="Calibri"/>
          <w:color w:val="002060"/>
        </w:rPr>
        <w:t xml:space="preserve"> </w:t>
      </w:r>
      <w:r w:rsidRPr="00505414">
        <w:rPr>
          <w:rFonts w:ascii="Calibri" w:hAnsi="Calibri" w:cs="Calibri"/>
          <w:color w:val="002060"/>
        </w:rPr>
        <w:t xml:space="preserve">dni absencji chorobowej. To oznacza, że </w:t>
      </w:r>
      <w:r w:rsidR="00F16E81">
        <w:rPr>
          <w:rFonts w:ascii="Calibri" w:hAnsi="Calibri" w:cs="Calibri"/>
          <w:color w:val="002060"/>
        </w:rPr>
        <w:t>każdy z poszkodowanych</w:t>
      </w:r>
      <w:r w:rsidRPr="00505414">
        <w:rPr>
          <w:rFonts w:ascii="Calibri" w:hAnsi="Calibri" w:cs="Calibri"/>
          <w:color w:val="002060"/>
        </w:rPr>
        <w:t xml:space="preserve"> w analizowanym </w:t>
      </w:r>
      <w:r w:rsidR="00F16E81">
        <w:rPr>
          <w:rFonts w:ascii="Calibri" w:hAnsi="Calibri" w:cs="Calibri"/>
          <w:color w:val="002060"/>
        </w:rPr>
        <w:t>okresie</w:t>
      </w:r>
      <w:r>
        <w:rPr>
          <w:rFonts w:ascii="Calibri" w:hAnsi="Calibri" w:cs="Calibri"/>
          <w:color w:val="002060"/>
        </w:rPr>
        <w:t xml:space="preserve"> na L4</w:t>
      </w:r>
      <w:r w:rsidRPr="00505414">
        <w:rPr>
          <w:rFonts w:ascii="Calibri" w:hAnsi="Calibri" w:cs="Calibri"/>
          <w:color w:val="002060"/>
        </w:rPr>
        <w:t xml:space="preserve"> spędza</w:t>
      </w:r>
      <w:r w:rsidR="00F16E81">
        <w:rPr>
          <w:rFonts w:ascii="Calibri" w:hAnsi="Calibri" w:cs="Calibri"/>
          <w:color w:val="002060"/>
        </w:rPr>
        <w:t>ł średnio niemal miesiąc (28 dni). N</w:t>
      </w:r>
      <w:r w:rsidR="00F16E81" w:rsidRPr="00F16E81">
        <w:rPr>
          <w:rFonts w:ascii="Calibri" w:hAnsi="Calibri" w:cs="Calibri"/>
          <w:color w:val="002060"/>
        </w:rPr>
        <w:t>ajkrótsze absencje po wypadkach notowano w sektorach biurowych i usługowych. W informacji i komunikacji jeden poszkodowany spędzał średnio 18,5 dnia na zwolnieniu, a w działalności finansowej i ubezpieczeniowej – niespełna 19. Niewiele dłużej trwała rekonwalescencja w ochronie zdrowia i pomocy społecznej</w:t>
      </w:r>
      <w:r w:rsidR="00F16E81">
        <w:rPr>
          <w:rFonts w:ascii="Calibri" w:hAnsi="Calibri" w:cs="Calibri"/>
          <w:color w:val="002060"/>
        </w:rPr>
        <w:t xml:space="preserve"> –</w:t>
      </w:r>
      <w:r w:rsidR="00F16E81" w:rsidRPr="00F16E81">
        <w:rPr>
          <w:rFonts w:ascii="Calibri" w:hAnsi="Calibri" w:cs="Calibri"/>
          <w:color w:val="002060"/>
        </w:rPr>
        <w:t xml:space="preserve"> średnio 19,4 dnia na osobę. W działalności profesjonalnej, naukowej i technicznej absencja sięgała przeciętnie 21,8 dnia, w zakwaterowaniu i gastronomii – 22,6, a w handlu i naprawie pojazdów – 23,9.</w:t>
      </w:r>
    </w:p>
    <w:p w14:paraId="42EDC50D" w14:textId="426583F3" w:rsidR="00F16E81" w:rsidRPr="00F16E81" w:rsidRDefault="00F16E81" w:rsidP="005C0701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F16E81">
        <w:rPr>
          <w:rFonts w:ascii="Calibri" w:hAnsi="Calibri" w:cs="Calibri"/>
          <w:color w:val="002060"/>
        </w:rPr>
        <w:t>Nieco wyższe wartości odnotowano w edukacji (24,6), kulturze i rekreacji (24,9) oraz administracji publicznej i obronie narodowej (25,8). W pozostałej działalności usługowej średnia absencja wyniosła 26,4. Dokładnie tyle samo co w skali ogólnopolskiej – 27,7 – trwały zwolnienia w transporcie i gospodarce magazynowej. Zbliżony wynik miała obsługa rynku nieruchomości (28,2</w:t>
      </w:r>
      <w:r w:rsidR="008D7F9C">
        <w:rPr>
          <w:rFonts w:ascii="Calibri" w:hAnsi="Calibri" w:cs="Calibri"/>
          <w:color w:val="002060"/>
        </w:rPr>
        <w:t>)</w:t>
      </w:r>
    </w:p>
    <w:p w14:paraId="67B7A0B6" w14:textId="12AF5B46" w:rsidR="00505414" w:rsidRPr="00505414" w:rsidRDefault="00F16E81" w:rsidP="005C0701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F16E81">
        <w:rPr>
          <w:rFonts w:ascii="Calibri" w:hAnsi="Calibri" w:cs="Calibri"/>
          <w:color w:val="002060"/>
        </w:rPr>
        <w:t>Znacznie dłużej trwało leczenie w przetwórstwie przemysłowym – aż 29,8 dnia na osobę. W działalności administracyjnej i wspierającej średnia absencja przekroczyła 30 dni, a w rolnictwie i rybactwie oraz w energetyce sięgała 32. Jeszcze dłużej pracownicy dochodzili do zdrowia w sektorze gospodarki wodno-ściekowej i rekultywacji (32,3 dnia). W budownictwie średni okres absencji wynosił już 38,5, a w górnictwie – aż 48,9</w:t>
      </w:r>
      <w:r>
        <w:rPr>
          <w:rFonts w:ascii="Calibri" w:hAnsi="Calibri" w:cs="Calibri"/>
          <w:color w:val="002060"/>
        </w:rPr>
        <w:t>.</w:t>
      </w:r>
    </w:p>
    <w:p w14:paraId="54184866" w14:textId="0F6CFE89" w:rsidR="00505414" w:rsidRDefault="00122968" w:rsidP="005C0701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color w:val="002060"/>
        </w:rPr>
        <w:t xml:space="preserve">– </w:t>
      </w:r>
      <w:r w:rsidR="00505414" w:rsidRPr="00122968">
        <w:rPr>
          <w:rFonts w:ascii="Calibri" w:hAnsi="Calibri" w:cs="Calibri"/>
          <w:i/>
          <w:iCs/>
          <w:color w:val="002060"/>
        </w:rPr>
        <w:t>Tak duża skala niezdolności do pracy to ogromne wyzwanie dla przedsiębiorstw</w:t>
      </w:r>
      <w:r w:rsidR="005C0701" w:rsidRPr="005C0701">
        <w:rPr>
          <w:rFonts w:ascii="Calibri" w:hAnsi="Calibri" w:cs="Calibri"/>
          <w:i/>
          <w:iCs/>
          <w:color w:val="002060"/>
        </w:rPr>
        <w:t>.</w:t>
      </w:r>
      <w:r w:rsidR="00505414" w:rsidRPr="005C0701">
        <w:rPr>
          <w:rFonts w:ascii="Calibri" w:hAnsi="Calibri" w:cs="Calibri"/>
          <w:i/>
          <w:iCs/>
          <w:color w:val="002060"/>
        </w:rPr>
        <w:t xml:space="preserve"> </w:t>
      </w:r>
      <w:r w:rsidRPr="005C0701">
        <w:rPr>
          <w:rFonts w:ascii="Calibri" w:hAnsi="Calibri" w:cs="Calibri"/>
          <w:i/>
          <w:iCs/>
          <w:color w:val="002060"/>
        </w:rPr>
        <w:t>Firmy</w:t>
      </w:r>
      <w:r w:rsidR="005C0701">
        <w:rPr>
          <w:rFonts w:ascii="Calibri" w:hAnsi="Calibri" w:cs="Calibri"/>
          <w:i/>
          <w:iCs/>
          <w:color w:val="002060"/>
        </w:rPr>
        <w:t>, w których dochodzi do wypadków</w:t>
      </w:r>
      <w:r w:rsidR="00095D09">
        <w:rPr>
          <w:rFonts w:ascii="Calibri" w:hAnsi="Calibri" w:cs="Calibri"/>
          <w:i/>
          <w:iCs/>
          <w:color w:val="002060"/>
        </w:rPr>
        <w:t>,</w:t>
      </w:r>
      <w:r w:rsidRPr="005C0701">
        <w:rPr>
          <w:rFonts w:ascii="Calibri" w:hAnsi="Calibri" w:cs="Calibri"/>
          <w:i/>
          <w:iCs/>
          <w:color w:val="002060"/>
        </w:rPr>
        <w:t xml:space="preserve"> borykają się nie tylko z brakiem odpowiedniej liczby pracowników, ale także z koniecznością reorganizacji procesów produkcyjnych i usługowych</w:t>
      </w:r>
      <w:r w:rsidR="005C0701">
        <w:rPr>
          <w:rFonts w:ascii="Calibri" w:hAnsi="Calibri" w:cs="Calibri"/>
          <w:i/>
          <w:iCs/>
          <w:color w:val="002060"/>
        </w:rPr>
        <w:t xml:space="preserve"> – </w:t>
      </w:r>
      <w:r w:rsidR="005C0701" w:rsidRPr="005C0701">
        <w:rPr>
          <w:rFonts w:ascii="Calibri" w:hAnsi="Calibri" w:cs="Calibri"/>
          <w:b/>
          <w:bCs/>
          <w:color w:val="002060"/>
        </w:rPr>
        <w:t>mówi Iwona Wieczyńska, dyrektor regionu w Grupie Progres.</w:t>
      </w:r>
      <w:r w:rsidR="005C0701">
        <w:rPr>
          <w:rFonts w:ascii="Calibri" w:hAnsi="Calibri" w:cs="Calibri"/>
          <w:i/>
          <w:iCs/>
          <w:color w:val="002060"/>
        </w:rPr>
        <w:t xml:space="preserve"> –</w:t>
      </w:r>
      <w:r w:rsidRPr="005C0701">
        <w:rPr>
          <w:rFonts w:ascii="Calibri" w:hAnsi="Calibri" w:cs="Calibri"/>
          <w:i/>
          <w:iCs/>
          <w:color w:val="002060"/>
        </w:rPr>
        <w:t xml:space="preserve"> </w:t>
      </w:r>
      <w:r w:rsidR="005C0701" w:rsidRPr="005C0701">
        <w:rPr>
          <w:rFonts w:ascii="Calibri" w:hAnsi="Calibri" w:cs="Calibri"/>
          <w:i/>
          <w:iCs/>
          <w:color w:val="002060"/>
        </w:rPr>
        <w:t>Braki kadrowe mogą powodować spowolnienie realizacji zleceń, opóźnienia w produkcji oraz wzrost kosztów operacyjnych, wynikających m.in. z potrzeby zatrudniania pracowników tymczasowych czy wypłacania nadgodzin obecnej kadrze. Straty ponosi również cała gospodarka – masowa absencja pracowników obniża wydajność i zakłóca ciągłość procesów. W ujęciu makroekonomicznym skutkuje to możliwym spadkiem wpływów podatkowych i zwiększeniem wydatków na wsparcie osób niezdolnych do pracy</w:t>
      </w:r>
      <w:r w:rsidR="005C0701">
        <w:rPr>
          <w:rFonts w:ascii="Calibri" w:hAnsi="Calibri" w:cs="Calibri"/>
          <w:i/>
          <w:iCs/>
          <w:color w:val="002060"/>
        </w:rPr>
        <w:t xml:space="preserve"> – </w:t>
      </w:r>
      <w:r w:rsidR="005C0701" w:rsidRPr="005C0701">
        <w:rPr>
          <w:rFonts w:ascii="Calibri" w:hAnsi="Calibri" w:cs="Calibri"/>
          <w:b/>
          <w:bCs/>
          <w:color w:val="002060"/>
        </w:rPr>
        <w:t>dodaje.</w:t>
      </w:r>
    </w:p>
    <w:p w14:paraId="132C29D0" w14:textId="7A438338" w:rsidR="004515B6" w:rsidRPr="004515B6" w:rsidRDefault="004515B6" w:rsidP="004515B6">
      <w:pPr>
        <w:spacing w:line="276" w:lineRule="auto"/>
        <w:jc w:val="both"/>
        <w:rPr>
          <w:rFonts w:ascii="Calibri" w:hAnsi="Calibri" w:cs="Calibri"/>
          <w:b/>
          <w:bCs/>
          <w:color w:val="002060"/>
          <w:shd w:val="clear" w:color="auto" w:fill="FFFFFF"/>
        </w:rPr>
      </w:pPr>
      <w:r w:rsidRPr="004515B6">
        <w:rPr>
          <w:rFonts w:ascii="Calibri" w:hAnsi="Calibri" w:cs="Calibri"/>
          <w:b/>
          <w:bCs/>
          <w:color w:val="002060"/>
          <w:shd w:val="clear" w:color="auto" w:fill="FFFFFF"/>
        </w:rPr>
        <w:t>Od błędów ludzkich po zaniedbania organizacyjne – najczęstsze źródła zagrożeń w pracy</w:t>
      </w:r>
    </w:p>
    <w:p w14:paraId="320500C8" w14:textId="77777777" w:rsidR="004515B6" w:rsidRPr="006737F1" w:rsidRDefault="004515B6" w:rsidP="004515B6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24199BFA" w14:textId="210AAA31" w:rsidR="004515B6" w:rsidRDefault="00584F93" w:rsidP="004515B6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  <w:r w:rsidRPr="00584F93">
        <w:rPr>
          <w:rFonts w:ascii="Calibri" w:hAnsi="Calibri" w:cs="Calibri"/>
          <w:color w:val="002060"/>
          <w:shd w:val="clear" w:color="auto" w:fill="FFFFFF"/>
        </w:rPr>
        <w:t>Przyczyny wypadków w pracy są zróżnicowane, ale niektóre z nich powtarzają się wyjątkowo często.</w:t>
      </w:r>
      <w:r>
        <w:rPr>
          <w:rFonts w:ascii="Calibri" w:hAnsi="Calibri" w:cs="Calibri"/>
          <w:color w:val="002060"/>
          <w:shd w:val="clear" w:color="auto" w:fill="FFFFFF"/>
        </w:rPr>
        <w:t xml:space="preserve"> </w:t>
      </w:r>
      <w:r w:rsidR="004515B6">
        <w:rPr>
          <w:rFonts w:ascii="Calibri" w:hAnsi="Calibri" w:cs="Calibri"/>
          <w:color w:val="002060"/>
          <w:shd w:val="clear" w:color="auto" w:fill="FFFFFF"/>
        </w:rPr>
        <w:t>N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aj</w:t>
      </w:r>
      <w:r>
        <w:rPr>
          <w:rFonts w:ascii="Calibri" w:hAnsi="Calibri" w:cs="Calibri"/>
          <w:color w:val="002060"/>
          <w:shd w:val="clear" w:color="auto" w:fill="FFFFFF"/>
        </w:rPr>
        <w:t>więcej wypadków spowodowanych zostało przez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 xml:space="preserve"> </w:t>
      </w:r>
      <w:r>
        <w:rPr>
          <w:rFonts w:ascii="Calibri" w:hAnsi="Calibri" w:cs="Calibri"/>
          <w:color w:val="002060"/>
          <w:shd w:val="clear" w:color="auto" w:fill="FFFFFF"/>
        </w:rPr>
        <w:t xml:space="preserve">nieprawidłowe zachowanie 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pracownika</w:t>
      </w:r>
      <w:r>
        <w:rPr>
          <w:rFonts w:ascii="Calibri" w:hAnsi="Calibri" w:cs="Calibri"/>
          <w:color w:val="002060"/>
          <w:shd w:val="clear" w:color="auto" w:fill="FFFFFF"/>
        </w:rPr>
        <w:t xml:space="preserve"> (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41,8</w:t>
      </w:r>
      <w:r>
        <w:rPr>
          <w:rFonts w:ascii="Calibri" w:hAnsi="Calibri" w:cs="Calibri"/>
          <w:color w:val="002060"/>
          <w:shd w:val="clear" w:color="auto" w:fill="FFFFFF"/>
        </w:rPr>
        <w:t>%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 xml:space="preserve"> wszystkich zdarzeń</w:t>
      </w:r>
      <w:r>
        <w:rPr>
          <w:rFonts w:ascii="Calibri" w:hAnsi="Calibri" w:cs="Calibri"/>
          <w:color w:val="002060"/>
          <w:shd w:val="clear" w:color="auto" w:fill="FFFFFF"/>
        </w:rPr>
        <w:t>)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. Kolejnymi przyczynami były niewłaściwe posługiwanie się czynnikiem materialnym</w:t>
      </w:r>
      <w:r w:rsidR="00BC1210">
        <w:rPr>
          <w:rFonts w:ascii="Calibri" w:hAnsi="Calibri" w:cs="Calibri"/>
          <w:color w:val="002060"/>
          <w:shd w:val="clear" w:color="auto" w:fill="FFFFFF"/>
        </w:rPr>
        <w:t xml:space="preserve"> 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– 10,5</w:t>
      </w:r>
      <w:r>
        <w:rPr>
          <w:rFonts w:ascii="Calibri" w:hAnsi="Calibri" w:cs="Calibri"/>
          <w:color w:val="002060"/>
          <w:shd w:val="clear" w:color="auto" w:fill="FFFFFF"/>
        </w:rPr>
        <w:t>%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, zdarzenia niezależne od pracodawcy i pracownika, w tym działania osób trzecich lub zwierząt – 7,5</w:t>
      </w:r>
      <w:r w:rsidR="00BC1210">
        <w:rPr>
          <w:rFonts w:ascii="Calibri" w:hAnsi="Calibri" w:cs="Calibri"/>
          <w:color w:val="002060"/>
          <w:shd w:val="clear" w:color="auto" w:fill="FFFFFF"/>
        </w:rPr>
        <w:t>%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, niewłaściwa organizacja stanowiska pracy – 6,6</w:t>
      </w:r>
      <w:r w:rsidR="00BC1210">
        <w:rPr>
          <w:rFonts w:ascii="Calibri" w:hAnsi="Calibri" w:cs="Calibri"/>
          <w:color w:val="002060"/>
          <w:shd w:val="clear" w:color="auto" w:fill="FFFFFF"/>
        </w:rPr>
        <w:t>%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, niestosowanie się do przepisów BHP – 6,5</w:t>
      </w:r>
      <w:r w:rsidR="00BC1210">
        <w:rPr>
          <w:rFonts w:ascii="Calibri" w:hAnsi="Calibri" w:cs="Calibri"/>
          <w:color w:val="002060"/>
          <w:shd w:val="clear" w:color="auto" w:fill="FFFFFF"/>
        </w:rPr>
        <w:t>%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 xml:space="preserve"> oraz niewłaściwa organizacja pracy – 5,3</w:t>
      </w:r>
      <w:r w:rsidR="007D477E">
        <w:rPr>
          <w:rFonts w:ascii="Calibri" w:hAnsi="Calibri" w:cs="Calibri"/>
          <w:color w:val="002060"/>
          <w:shd w:val="clear" w:color="auto" w:fill="FFFFFF"/>
        </w:rPr>
        <w:t>%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 xml:space="preserve">. Pozostałe przyczyny, takie jak wady </w:t>
      </w:r>
      <w:r w:rsidR="00BC1210" w:rsidRPr="00584F93">
        <w:rPr>
          <w:rFonts w:ascii="Calibri" w:hAnsi="Calibri" w:cs="Calibri"/>
          <w:color w:val="002060"/>
          <w:shd w:val="clear" w:color="auto" w:fill="FFFFFF"/>
        </w:rPr>
        <w:t>konstrukcyjne</w:t>
      </w:r>
      <w:r w:rsidR="00BC1210">
        <w:rPr>
          <w:rFonts w:ascii="Calibri" w:hAnsi="Calibri" w:cs="Calibri"/>
          <w:color w:val="002060"/>
          <w:shd w:val="clear" w:color="auto" w:fill="FFFFFF"/>
        </w:rPr>
        <w:t xml:space="preserve"> </w:t>
      </w:r>
      <w:r w:rsidR="00BC1210" w:rsidRPr="00584F93">
        <w:rPr>
          <w:rFonts w:ascii="Calibri" w:hAnsi="Calibri" w:cs="Calibri"/>
          <w:color w:val="002060"/>
          <w:shd w:val="clear" w:color="auto" w:fill="FFFFFF"/>
        </w:rPr>
        <w:t xml:space="preserve">lub niewłaściwe </w:t>
      </w:r>
      <w:r w:rsidR="00BC1210" w:rsidRPr="00584F93">
        <w:rPr>
          <w:rFonts w:ascii="Calibri" w:hAnsi="Calibri" w:cs="Calibri"/>
          <w:color w:val="002060"/>
          <w:shd w:val="clear" w:color="auto" w:fill="FFFFFF"/>
        </w:rPr>
        <w:lastRenderedPageBreak/>
        <w:t>rozwiązania techniczne</w:t>
      </w:r>
      <w:r w:rsidR="00BC1210">
        <w:rPr>
          <w:rFonts w:ascii="Calibri" w:hAnsi="Calibri" w:cs="Calibri"/>
          <w:color w:val="002060"/>
          <w:shd w:val="clear" w:color="auto" w:fill="FFFFFF"/>
        </w:rPr>
        <w:t xml:space="preserve"> (4,7%)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, niewłaściwa eksploatacja maszyn</w:t>
      </w:r>
      <w:r w:rsidR="00DA4BB3">
        <w:rPr>
          <w:rFonts w:ascii="Calibri" w:hAnsi="Calibri" w:cs="Calibri"/>
          <w:color w:val="002060"/>
          <w:shd w:val="clear" w:color="auto" w:fill="FFFFFF"/>
        </w:rPr>
        <w:t xml:space="preserve"> (2,3%)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 xml:space="preserve">, </w:t>
      </w:r>
      <w:r w:rsidR="00DA4BB3">
        <w:rPr>
          <w:rFonts w:ascii="Calibri" w:hAnsi="Calibri" w:cs="Calibri"/>
          <w:color w:val="002060"/>
          <w:shd w:val="clear" w:color="auto" w:fill="FFFFFF"/>
        </w:rPr>
        <w:t>s</w:t>
      </w:r>
      <w:r w:rsidR="00DA4BB3" w:rsidRPr="00584F93">
        <w:rPr>
          <w:rFonts w:ascii="Calibri" w:hAnsi="Calibri" w:cs="Calibri"/>
          <w:color w:val="002060"/>
          <w:shd w:val="clear" w:color="auto" w:fill="FFFFFF"/>
        </w:rPr>
        <w:t>tan psychofizyczny pracownika, niezapewniający bezpiecznego wykonywania pracy</w:t>
      </w:r>
      <w:r w:rsidR="00DA4BB3" w:rsidRPr="00584F93">
        <w:rPr>
          <w:rFonts w:ascii="Calibri" w:hAnsi="Calibri" w:cs="Calibri"/>
          <w:color w:val="002060"/>
          <w:shd w:val="clear" w:color="auto" w:fill="FFFFFF"/>
        </w:rPr>
        <w:tab/>
      </w:r>
      <w:r w:rsidR="00DA4BB3">
        <w:rPr>
          <w:rFonts w:ascii="Calibri" w:hAnsi="Calibri" w:cs="Calibri"/>
          <w:color w:val="002060"/>
          <w:shd w:val="clear" w:color="auto" w:fill="FFFFFF"/>
        </w:rPr>
        <w:t>(</w:t>
      </w:r>
      <w:r w:rsidR="00DA4BB3" w:rsidRPr="00584F93">
        <w:rPr>
          <w:rFonts w:ascii="Calibri" w:hAnsi="Calibri" w:cs="Calibri"/>
          <w:color w:val="002060"/>
          <w:shd w:val="clear" w:color="auto" w:fill="FFFFFF"/>
        </w:rPr>
        <w:t>2,3</w:t>
      </w:r>
      <w:r w:rsidR="00DA4BB3">
        <w:rPr>
          <w:rFonts w:ascii="Calibri" w:hAnsi="Calibri" w:cs="Calibri"/>
          <w:color w:val="002060"/>
          <w:shd w:val="clear" w:color="auto" w:fill="FFFFFF"/>
        </w:rPr>
        <w:t xml:space="preserve">%), 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 xml:space="preserve">wady materiałowe </w:t>
      </w:r>
      <w:r w:rsidR="00DA4BB3">
        <w:rPr>
          <w:rFonts w:ascii="Calibri" w:hAnsi="Calibri" w:cs="Calibri"/>
          <w:color w:val="002060"/>
          <w:shd w:val="clear" w:color="auto" w:fill="FFFFFF"/>
        </w:rPr>
        <w:t xml:space="preserve">(2%) 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czy nieużywanie sprzętu ochronnego</w:t>
      </w:r>
      <w:r w:rsidR="00DA4BB3">
        <w:rPr>
          <w:rFonts w:ascii="Calibri" w:hAnsi="Calibri" w:cs="Calibri"/>
          <w:color w:val="002060"/>
          <w:shd w:val="clear" w:color="auto" w:fill="FFFFFF"/>
        </w:rPr>
        <w:t xml:space="preserve"> (1,9%)</w:t>
      </w:r>
      <w:r w:rsidR="004515B6" w:rsidRPr="006737F1">
        <w:rPr>
          <w:rFonts w:ascii="Calibri" w:hAnsi="Calibri" w:cs="Calibri"/>
          <w:color w:val="002060"/>
          <w:shd w:val="clear" w:color="auto" w:fill="FFFFFF"/>
        </w:rPr>
        <w:t>, miały mniejszy, ale wciąż istotny wpływ na ogólną liczbę zdarzeń.</w:t>
      </w:r>
    </w:p>
    <w:p w14:paraId="4A596334" w14:textId="77777777" w:rsidR="004244F3" w:rsidRDefault="004244F3" w:rsidP="004515B6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22A943AC" w14:textId="77777777" w:rsidR="004244F3" w:rsidRDefault="004244F3" w:rsidP="004244F3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  <w:r w:rsidRPr="004244F3">
        <w:rPr>
          <w:rFonts w:ascii="Calibri" w:hAnsi="Calibri" w:cs="Calibri"/>
          <w:color w:val="002060"/>
          <w:shd w:val="clear" w:color="auto" w:fill="FFFFFF"/>
        </w:rPr>
        <w:t xml:space="preserve">Niestety, mimo rosnącej świadomości w zakresie bezpieczeństwa pracy, pracownicy wciąż nie są odpowiednio wdrażani w swoje obowiązki i zasady BHP. Z badania Grupy Progres wynika, że aż 13% osób przyznaje, iż w przypadku zmiany miejsca zatrudnienia powodem rezygnacji mogłoby być jawne nieprzestrzeganie zasad bezpieczeństwa w firmie, a 39% wskazuje na niebezpieczne warunki pracy. Co więcej, choć 72% pracodawców deklaruje prowadzenie </w:t>
      </w:r>
      <w:proofErr w:type="spellStart"/>
      <w:r w:rsidRPr="004244F3">
        <w:rPr>
          <w:rFonts w:ascii="Calibri" w:hAnsi="Calibri" w:cs="Calibri"/>
          <w:color w:val="002060"/>
          <w:shd w:val="clear" w:color="auto" w:fill="FFFFFF"/>
        </w:rPr>
        <w:t>onboardingów</w:t>
      </w:r>
      <w:proofErr w:type="spellEnd"/>
      <w:r w:rsidRPr="004244F3">
        <w:rPr>
          <w:rFonts w:ascii="Calibri" w:hAnsi="Calibri" w:cs="Calibri"/>
          <w:color w:val="002060"/>
          <w:shd w:val="clear" w:color="auto" w:fill="FFFFFF"/>
        </w:rPr>
        <w:t>, tylko 51% pracowników przyznaje, że faktycznie odbyło szkolenie wstępne po rozpoczęciu nowej pracy.</w:t>
      </w:r>
    </w:p>
    <w:p w14:paraId="5DCA9E83" w14:textId="77777777" w:rsidR="004244F3" w:rsidRDefault="004244F3" w:rsidP="004244F3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3D7FA405" w14:textId="4958F31A" w:rsidR="004244F3" w:rsidRDefault="004244F3" w:rsidP="004244F3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  <w:r w:rsidRPr="004244F3">
        <w:rPr>
          <w:rFonts w:ascii="Calibri" w:hAnsi="Calibri" w:cs="Calibri"/>
          <w:color w:val="002060"/>
          <w:shd w:val="clear" w:color="auto" w:fill="FFFFFF"/>
        </w:rPr>
        <w:t xml:space="preserve">– </w:t>
      </w:r>
      <w:r w:rsidRPr="004244F3">
        <w:rPr>
          <w:rFonts w:ascii="Calibri" w:hAnsi="Calibri" w:cs="Calibri"/>
          <w:i/>
          <w:iCs/>
          <w:color w:val="002060"/>
          <w:shd w:val="clear" w:color="auto" w:fill="FFFFFF"/>
        </w:rPr>
        <w:t xml:space="preserve">Brak odpowiedniego wdrożenia nowych pracowników w procedury i zasady BHP to nie tylko zaniedbanie formalne, ale realne zagrożenie dla ich zdrowia i życia. Dane jasno pokazują, że deklaracje pracodawców często rozmijają się z rzeczywistością, a szkolenia wstępne są traktowane jak formalność </w:t>
      </w:r>
      <w:r w:rsidR="00095D09">
        <w:rPr>
          <w:rFonts w:ascii="Calibri" w:hAnsi="Calibri" w:cs="Calibri"/>
          <w:i/>
          <w:iCs/>
          <w:color w:val="002060"/>
          <w:shd w:val="clear" w:color="auto" w:fill="FFFFFF"/>
        </w:rPr>
        <w:t>a nie</w:t>
      </w:r>
      <w:r w:rsidRPr="004244F3">
        <w:rPr>
          <w:rFonts w:ascii="Calibri" w:hAnsi="Calibri" w:cs="Calibri"/>
          <w:i/>
          <w:iCs/>
          <w:color w:val="002060"/>
          <w:shd w:val="clear" w:color="auto" w:fill="FFFFFF"/>
        </w:rPr>
        <w:t xml:space="preserve"> kluczo</w:t>
      </w:r>
      <w:r w:rsidR="00095D09">
        <w:rPr>
          <w:rFonts w:ascii="Calibri" w:hAnsi="Calibri" w:cs="Calibri"/>
          <w:i/>
          <w:iCs/>
          <w:color w:val="002060"/>
          <w:shd w:val="clear" w:color="auto" w:fill="FFFFFF"/>
        </w:rPr>
        <w:t>wy</w:t>
      </w:r>
      <w:r w:rsidRPr="004244F3">
        <w:rPr>
          <w:rFonts w:ascii="Calibri" w:hAnsi="Calibri" w:cs="Calibri"/>
          <w:i/>
          <w:iCs/>
          <w:color w:val="002060"/>
          <w:shd w:val="clear" w:color="auto" w:fill="FFFFFF"/>
        </w:rPr>
        <w:t xml:space="preserve"> element budowania bezpiecznego środowiska pracy. Co więcej, niedostateczne przygotowanie zatrudnionych zwiększa ryzyko błędów ludzkich, które – jak wiemy – są najczęstszą przyczyną wypadków. Inwestycja w rzetelny onboarding i szkolenia nie tylko zmniejsza liczbę zdarzeń, ale też poprawia kulturę organizacyjną i buduje większe zaufanie do pracodawcy</w:t>
      </w:r>
      <w:r>
        <w:rPr>
          <w:rFonts w:ascii="Calibri" w:hAnsi="Calibri" w:cs="Calibri"/>
          <w:color w:val="002060"/>
          <w:shd w:val="clear" w:color="auto" w:fill="FFFFFF"/>
        </w:rPr>
        <w:t xml:space="preserve"> – </w:t>
      </w:r>
      <w:r w:rsidRPr="004244F3">
        <w:rPr>
          <w:rFonts w:ascii="Calibri" w:hAnsi="Calibri" w:cs="Calibri"/>
          <w:b/>
          <w:bCs/>
          <w:color w:val="002060"/>
          <w:shd w:val="clear" w:color="auto" w:fill="FFFFFF"/>
        </w:rPr>
        <w:t xml:space="preserve">podkreśla </w:t>
      </w:r>
      <w:r w:rsidRPr="005C0701">
        <w:rPr>
          <w:rFonts w:ascii="Calibri" w:hAnsi="Calibri" w:cs="Calibri"/>
          <w:b/>
          <w:bCs/>
          <w:color w:val="002060"/>
        </w:rPr>
        <w:t>Iwona Wieczyńska, dyrektor regionu w Grupie Progres.</w:t>
      </w:r>
    </w:p>
    <w:p w14:paraId="6738D5F8" w14:textId="77777777" w:rsidR="004515B6" w:rsidRPr="004515B6" w:rsidRDefault="004515B6" w:rsidP="004515B6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10F2C209" w14:textId="0371EFFD" w:rsidR="005C0701" w:rsidRPr="008D3698" w:rsidRDefault="008D3698" w:rsidP="005C0701">
      <w:pPr>
        <w:spacing w:line="276" w:lineRule="auto"/>
        <w:jc w:val="both"/>
        <w:rPr>
          <w:rFonts w:ascii="Calibri" w:hAnsi="Calibri" w:cs="Calibri"/>
          <w:b/>
          <w:bCs/>
          <w:color w:val="002060"/>
          <w:shd w:val="clear" w:color="auto" w:fill="FFFFFF"/>
        </w:rPr>
      </w:pPr>
      <w:r w:rsidRPr="008D3698">
        <w:rPr>
          <w:rFonts w:ascii="Calibri" w:hAnsi="Calibri" w:cs="Calibri"/>
          <w:b/>
          <w:bCs/>
          <w:color w:val="002060"/>
          <w:shd w:val="clear" w:color="auto" w:fill="FFFFFF"/>
        </w:rPr>
        <w:t>Mapa wypadkowości w Polsce: przemysłowe regiony bardziej ryzykowne niż usługowe</w:t>
      </w:r>
    </w:p>
    <w:p w14:paraId="1FDFF83B" w14:textId="77777777" w:rsidR="008D3698" w:rsidRDefault="008D3698" w:rsidP="005C0701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10796355" w14:textId="7FEBB568" w:rsidR="006737F1" w:rsidRPr="006C5587" w:rsidRDefault="006737F1" w:rsidP="005C0701">
      <w:pPr>
        <w:spacing w:line="276" w:lineRule="auto"/>
        <w:jc w:val="both"/>
        <w:rPr>
          <w:rFonts w:ascii="Calibri" w:hAnsi="Calibri" w:cs="Calibri"/>
          <w:color w:val="1F1B41" w:themeColor="text1"/>
          <w:shd w:val="clear" w:color="auto" w:fill="FFFFFF"/>
        </w:rPr>
      </w:pPr>
      <w:r w:rsidRPr="00505414">
        <w:rPr>
          <w:rFonts w:ascii="Calibri" w:hAnsi="Calibri" w:cs="Calibri"/>
          <w:color w:val="002060"/>
          <w:shd w:val="clear" w:color="auto" w:fill="FFFFFF"/>
        </w:rPr>
        <w:t xml:space="preserve">Ogólny wskaźnik wypadkowości wyniósł w Polsce </w:t>
      </w:r>
      <w:r w:rsidRPr="006737F1">
        <w:rPr>
          <w:rFonts w:ascii="Calibri" w:hAnsi="Calibri" w:cs="Calibri"/>
          <w:color w:val="002060"/>
          <w:shd w:val="clear" w:color="auto" w:fill="FFFFFF"/>
        </w:rPr>
        <w:t>2,23 poszkodowanego na 1000 pracujących. Zróżnicowanie regionalne jest jednak znaczące. Najwyższe wartości odnotowano w województwie opolskim (2,97), śląskim (2,94), warmińsko-mazurskim (2,66), zachodniopomorskim (2,63), dolnośląskim (2,53), wielkopolskim (2,50) oraz kujawsko-pomorskim (2,47</w:t>
      </w:r>
      <w:r w:rsidRPr="006C5587">
        <w:rPr>
          <w:rFonts w:ascii="Calibri" w:hAnsi="Calibri" w:cs="Calibri"/>
          <w:color w:val="002060"/>
          <w:shd w:val="clear" w:color="auto" w:fill="FFFFFF"/>
        </w:rPr>
        <w:t xml:space="preserve">). Powyżej średniej znalazły się też województwa świętokrzyskie (2,48), podlaskie (2,39) i pomorskie (2,16). Najniższe wskaźniki odnotowano w województwie małopolskim (1,62) i mazowieckim (1,63). Stosunkowo niska wypadkowość wystąpiła również w województwach podkarpackim (2,06), łódzkim (2,12), lubuskim (2,13) oraz lubelskim (2,14). Jak </w:t>
      </w:r>
      <w:r w:rsidR="008D3698" w:rsidRPr="006C5587">
        <w:rPr>
          <w:rFonts w:ascii="Calibri" w:hAnsi="Calibri" w:cs="Calibri"/>
          <w:color w:val="002060"/>
          <w:shd w:val="clear" w:color="auto" w:fill="FFFFFF"/>
        </w:rPr>
        <w:t xml:space="preserve">wyjaśnia </w:t>
      </w:r>
      <w:r w:rsidR="008D3698" w:rsidRPr="006C5587">
        <w:rPr>
          <w:rFonts w:ascii="Calibri" w:hAnsi="Calibri" w:cs="Calibri"/>
          <w:color w:val="002060"/>
        </w:rPr>
        <w:t>Iwona Wieczyńska, dyrektor regionu w Grupie Progres</w:t>
      </w:r>
      <w:r w:rsidR="00095D09">
        <w:rPr>
          <w:rFonts w:ascii="Calibri" w:hAnsi="Calibri" w:cs="Calibri"/>
          <w:color w:val="002060"/>
        </w:rPr>
        <w:t>,</w:t>
      </w:r>
      <w:r w:rsidR="008D3698" w:rsidRPr="006C5587">
        <w:rPr>
          <w:rFonts w:ascii="Calibri" w:hAnsi="Calibri" w:cs="Calibri"/>
          <w:color w:val="002060"/>
        </w:rPr>
        <w:t xml:space="preserve"> </w:t>
      </w:r>
      <w:r w:rsidR="008D3698" w:rsidRPr="006C5587">
        <w:rPr>
          <w:rStyle w:val="Uwydatnienie"/>
          <w:rFonts w:ascii="Calibri" w:hAnsi="Calibri" w:cs="Calibri"/>
          <w:color w:val="002060"/>
        </w:rPr>
        <w:t>„</w:t>
      </w:r>
      <w:r w:rsidR="00095D09">
        <w:rPr>
          <w:rStyle w:val="Uwydatnienie"/>
          <w:rFonts w:ascii="Calibri" w:hAnsi="Calibri" w:cs="Calibri"/>
          <w:color w:val="002060"/>
        </w:rPr>
        <w:t>r</w:t>
      </w:r>
      <w:r w:rsidR="008D3698" w:rsidRPr="006C5587">
        <w:rPr>
          <w:rStyle w:val="Uwydatnienie"/>
          <w:rFonts w:ascii="Calibri" w:hAnsi="Calibri" w:cs="Calibri"/>
          <w:color w:val="002060"/>
        </w:rPr>
        <w:t>óżnice regionalne w dużej mierze wynikają z charakteru dominujących branż. Tam, gdzie gospodarka opiera się na przemyśle ciężkim, produkcji czy budownictwie, ryzyko wystąpienia wypadków jest znacznie wyższe, ponieważ praca w takich sektorach wiąże się z większym zagrożeniem dla zdrowia i życia. Z kolei w regionach, gdzie przeważają usługi, administracja i prace biurowe, ryzyko jest zdecydowanie mniejsze. To pokazuje, jak duży wpływ na bezpieczeństwo pracowników ma struktura lokalnej gospodarki”</w:t>
      </w:r>
      <w:r w:rsidR="008D3698" w:rsidRPr="006C5587">
        <w:rPr>
          <w:rFonts w:ascii="Calibri" w:hAnsi="Calibri" w:cs="Calibri"/>
          <w:color w:val="002060"/>
        </w:rPr>
        <w:t>.</w:t>
      </w:r>
    </w:p>
    <w:p w14:paraId="5AE2882D" w14:textId="77777777" w:rsidR="001228E9" w:rsidRPr="006737F1" w:rsidRDefault="001228E9" w:rsidP="006737F1">
      <w:pPr>
        <w:spacing w:line="276" w:lineRule="auto"/>
        <w:rPr>
          <w:rFonts w:ascii="Calibri" w:hAnsi="Calibri" w:cs="Calibri"/>
          <w:color w:val="002060"/>
          <w:shd w:val="clear" w:color="auto" w:fill="FFFFFF"/>
        </w:rPr>
      </w:pPr>
    </w:p>
    <w:p w14:paraId="236C6A99" w14:textId="4077F2DA" w:rsidR="006737F1" w:rsidRPr="005C0701" w:rsidRDefault="005C0701" w:rsidP="006737F1">
      <w:pPr>
        <w:spacing w:line="276" w:lineRule="auto"/>
        <w:rPr>
          <w:rFonts w:ascii="Calibri" w:hAnsi="Calibri" w:cs="Calibri"/>
          <w:b/>
          <w:bCs/>
          <w:color w:val="002060"/>
          <w:shd w:val="clear" w:color="auto" w:fill="FFFFFF"/>
        </w:rPr>
      </w:pPr>
      <w:r w:rsidRPr="005C0701">
        <w:rPr>
          <w:rFonts w:ascii="Calibri" w:hAnsi="Calibri" w:cs="Calibri"/>
          <w:b/>
          <w:bCs/>
          <w:color w:val="002060"/>
          <w:shd w:val="clear" w:color="auto" w:fill="FFFFFF"/>
        </w:rPr>
        <w:lastRenderedPageBreak/>
        <w:t>Przemysł</w:t>
      </w:r>
      <w:r w:rsidR="008D3698">
        <w:rPr>
          <w:rFonts w:ascii="Calibri" w:hAnsi="Calibri" w:cs="Calibri"/>
          <w:b/>
          <w:bCs/>
          <w:color w:val="002060"/>
          <w:shd w:val="clear" w:color="auto" w:fill="FFFFFF"/>
        </w:rPr>
        <w:t xml:space="preserve">, górnictwo i dostawa wody – najbardziej ryzykowne </w:t>
      </w:r>
    </w:p>
    <w:p w14:paraId="11422383" w14:textId="77777777" w:rsidR="006737F1" w:rsidRPr="006737F1" w:rsidRDefault="006737F1" w:rsidP="006737F1">
      <w:pPr>
        <w:spacing w:line="276" w:lineRule="auto"/>
        <w:rPr>
          <w:rFonts w:ascii="Calibri" w:hAnsi="Calibri" w:cs="Calibri"/>
          <w:color w:val="002060"/>
          <w:shd w:val="clear" w:color="auto" w:fill="FFFFFF"/>
        </w:rPr>
      </w:pPr>
    </w:p>
    <w:p w14:paraId="31590759" w14:textId="2840C5DD" w:rsidR="006737F1" w:rsidRPr="006737F1" w:rsidRDefault="006737F1" w:rsidP="008D3698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  <w:r w:rsidRPr="006737F1">
        <w:rPr>
          <w:rFonts w:ascii="Calibri" w:hAnsi="Calibri" w:cs="Calibri"/>
          <w:color w:val="002060"/>
          <w:shd w:val="clear" w:color="auto" w:fill="FFFFFF"/>
        </w:rPr>
        <w:t xml:space="preserve">Najwięcej poszkodowanych odnotowano w przetwórstwie przemysłowym – 9353 osoby, handlu i naprawie pojazdów – 4601 osób oraz ochronie zdrowia i pomocy społecznej – 3507 osób. W transporcie i gospodarce magazynowej ucierpiało 2711 </w:t>
      </w:r>
      <w:r w:rsidR="008D3698">
        <w:rPr>
          <w:rFonts w:ascii="Calibri" w:hAnsi="Calibri" w:cs="Calibri"/>
          <w:color w:val="002060"/>
          <w:shd w:val="clear" w:color="auto" w:fill="FFFFFF"/>
        </w:rPr>
        <w:t>zatrudnionych</w:t>
      </w:r>
      <w:r w:rsidRPr="006737F1">
        <w:rPr>
          <w:rFonts w:ascii="Calibri" w:hAnsi="Calibri" w:cs="Calibri"/>
          <w:color w:val="002060"/>
          <w:shd w:val="clear" w:color="auto" w:fill="FFFFFF"/>
        </w:rPr>
        <w:t xml:space="preserve">, a w </w:t>
      </w:r>
      <w:r w:rsidR="00930992">
        <w:rPr>
          <w:rFonts w:ascii="Calibri" w:hAnsi="Calibri" w:cs="Calibri"/>
          <w:color w:val="002060"/>
          <w:shd w:val="clear" w:color="auto" w:fill="FFFFFF"/>
        </w:rPr>
        <w:t xml:space="preserve">edukacji 2102. </w:t>
      </w:r>
      <w:r w:rsidRPr="006737F1">
        <w:rPr>
          <w:rFonts w:ascii="Calibri" w:hAnsi="Calibri" w:cs="Calibri"/>
          <w:color w:val="002060"/>
          <w:shd w:val="clear" w:color="auto" w:fill="FFFFFF"/>
        </w:rPr>
        <w:t xml:space="preserve">Znaczącą liczbę poszkodowanych odnotowano także w </w:t>
      </w:r>
      <w:r w:rsidR="00930992">
        <w:rPr>
          <w:rFonts w:ascii="Calibri" w:hAnsi="Calibri" w:cs="Calibri"/>
          <w:color w:val="002060"/>
          <w:shd w:val="clear" w:color="auto" w:fill="FFFFFF"/>
        </w:rPr>
        <w:t xml:space="preserve">budownictwie </w:t>
      </w:r>
      <w:r w:rsidRPr="006737F1">
        <w:rPr>
          <w:rFonts w:ascii="Calibri" w:hAnsi="Calibri" w:cs="Calibri"/>
          <w:color w:val="002060"/>
          <w:shd w:val="clear" w:color="auto" w:fill="FFFFFF"/>
        </w:rPr>
        <w:t>(</w:t>
      </w:r>
      <w:r w:rsidR="00930992">
        <w:rPr>
          <w:rFonts w:ascii="Calibri" w:hAnsi="Calibri" w:cs="Calibri"/>
          <w:color w:val="002060"/>
          <w:shd w:val="clear" w:color="auto" w:fill="FFFFFF"/>
        </w:rPr>
        <w:t>1495</w:t>
      </w:r>
      <w:r w:rsidRPr="006737F1">
        <w:rPr>
          <w:rFonts w:ascii="Calibri" w:hAnsi="Calibri" w:cs="Calibri"/>
          <w:color w:val="002060"/>
          <w:shd w:val="clear" w:color="auto" w:fill="FFFFFF"/>
        </w:rPr>
        <w:t>), administracji publicznej i obronie narodowej (1337), administracji i działalności wspierającej (998), górnictwie i wydobywaniu (</w:t>
      </w:r>
      <w:r w:rsidR="00930992">
        <w:rPr>
          <w:rFonts w:ascii="Calibri" w:hAnsi="Calibri" w:cs="Calibri"/>
          <w:color w:val="002060"/>
          <w:shd w:val="clear" w:color="auto" w:fill="FFFFFF"/>
        </w:rPr>
        <w:t>1</w:t>
      </w:r>
      <w:r w:rsidRPr="006737F1">
        <w:rPr>
          <w:rFonts w:ascii="Calibri" w:hAnsi="Calibri" w:cs="Calibri"/>
          <w:color w:val="002060"/>
          <w:shd w:val="clear" w:color="auto" w:fill="FFFFFF"/>
        </w:rPr>
        <w:t>010) oraz dostawie wody i gospodarowaniu odpadami (926). W rolnictwie, leśnictwie i rybactwie poszkodowanych zostało 342 pracowników, a w sektorze wytwarzania i zaopatrywania w energię elektryczną 234 osoby.</w:t>
      </w:r>
    </w:p>
    <w:p w14:paraId="3F7BA1FF" w14:textId="77777777" w:rsidR="006737F1" w:rsidRPr="006737F1" w:rsidRDefault="006737F1" w:rsidP="006737F1">
      <w:pPr>
        <w:spacing w:line="276" w:lineRule="auto"/>
        <w:rPr>
          <w:rFonts w:ascii="Calibri" w:hAnsi="Calibri" w:cs="Calibri"/>
          <w:color w:val="002060"/>
          <w:shd w:val="clear" w:color="auto" w:fill="FFFFFF"/>
        </w:rPr>
      </w:pPr>
    </w:p>
    <w:p w14:paraId="0502841D" w14:textId="3D93BF56" w:rsidR="006737F1" w:rsidRDefault="006737F1" w:rsidP="008D3698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  <w:r w:rsidRPr="006737F1">
        <w:rPr>
          <w:rFonts w:ascii="Calibri" w:hAnsi="Calibri" w:cs="Calibri"/>
          <w:color w:val="002060"/>
          <w:shd w:val="clear" w:color="auto" w:fill="FFFFFF"/>
        </w:rPr>
        <w:t>W branżach usługowych skala wypadków była niższa, choć nie bez znaczenia. W obsłudze rynku nieruchomości poszkodowanych zostało 308 osób, w działalności profesjonalnej, naukowej i technicznej 428, w informacji i komunikacji 184 osoby, a w finansach i ubezpieczeniach 214. W zakwaterowaniu i gastronomii ucierpiało 446 pracowników, w kulturze, rozrywce i rekreacji 280, a w pozostałej działalności usługowej 179.</w:t>
      </w:r>
    </w:p>
    <w:p w14:paraId="325CAAA6" w14:textId="77777777" w:rsidR="008D7F9C" w:rsidRDefault="008D7F9C" w:rsidP="008D3698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4C7A95A9" w14:textId="7CABEA86" w:rsidR="006737F1" w:rsidRDefault="006737F1" w:rsidP="008D7F9C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  <w:r w:rsidRPr="006737F1">
        <w:rPr>
          <w:rFonts w:ascii="Calibri" w:hAnsi="Calibri" w:cs="Calibri"/>
          <w:color w:val="002060"/>
          <w:shd w:val="clear" w:color="auto" w:fill="FFFFFF"/>
        </w:rPr>
        <w:t xml:space="preserve">Pod względem wskaźnika wypadkowości najbardziej ryzykownymi branżami okazały się górnictwo i wydobywanie (7,78 poszkodowanego na 1000 pracujących), dostawa wody i gospodarowanie odpadami (5,50) oraz przetwórstwo przemysłowe (3,40). Wysoką wypadkowość odnotowano również w ochronie zdrowia (3,55) i transporcie (3,00). Najniższe wartości wystąpiły w informatyce i komunikacji (0,34), finansach (0,65) i działalności profesjonalnej (0,51). </w:t>
      </w:r>
    </w:p>
    <w:p w14:paraId="33550B2A" w14:textId="77777777" w:rsidR="001228E9" w:rsidRDefault="001228E9" w:rsidP="008D7F9C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6AA778A5" w14:textId="4D47161A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b/>
          <w:bCs/>
          <w:color w:val="002060"/>
          <w:shd w:val="clear" w:color="auto" w:fill="FFFFFF"/>
        </w:rPr>
      </w:pPr>
      <w:r w:rsidRPr="000B3614">
        <w:rPr>
          <w:rFonts w:ascii="Calibri" w:hAnsi="Calibri" w:cs="Calibri"/>
          <w:b/>
          <w:bCs/>
          <w:color w:val="002060"/>
          <w:shd w:val="clear" w:color="auto" w:fill="FFFFFF"/>
        </w:rPr>
        <w:t>Bezwypadkowe liczniki jako element kultury bezpieczeństwa</w:t>
      </w:r>
    </w:p>
    <w:p w14:paraId="35CC4615" w14:textId="77777777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78A95BEE" w14:textId="0197C889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  <w:r w:rsidRPr="000B3614">
        <w:rPr>
          <w:rFonts w:ascii="Calibri" w:hAnsi="Calibri" w:cs="Calibri"/>
          <w:color w:val="002060"/>
          <w:shd w:val="clear" w:color="auto" w:fill="FFFFFF"/>
        </w:rPr>
        <w:t xml:space="preserve">Ciekawym rozwiązaniem stosowanym w dużych zakładach produkcyjnych są tzw. tablice bezwypadkowe, umieszczane przy wejściu na teren firmy. Informują one, ile dni upłynęło od ostatniego wypadku przy pracy, a także od ostatniego poważnego zdarzenia. </w:t>
      </w:r>
      <w:r>
        <w:rPr>
          <w:rFonts w:ascii="Calibri" w:hAnsi="Calibri" w:cs="Calibri"/>
          <w:color w:val="002060"/>
          <w:shd w:val="clear" w:color="auto" w:fill="FFFFFF"/>
        </w:rPr>
        <w:t>T</w:t>
      </w:r>
      <w:r w:rsidRPr="000B3614">
        <w:rPr>
          <w:rFonts w:ascii="Calibri" w:hAnsi="Calibri" w:cs="Calibri"/>
          <w:color w:val="002060"/>
          <w:shd w:val="clear" w:color="auto" w:fill="FFFFFF"/>
        </w:rPr>
        <w:t>akie działania pełnią funkcję prewencyjną i motywacyjną – już na wstępie przypominają pracownikom o konieczności zachowania ostrożności i przestrzegania zasad BHP. To proste, a zarazem skuteczne narzędzie budowania kultury bezpieczeństwa, które przyjęło się w wielu przedsiębiorstwach przemysłowych.</w:t>
      </w:r>
    </w:p>
    <w:p w14:paraId="1438C488" w14:textId="77777777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60D84DAD" w14:textId="77777777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b/>
          <w:bCs/>
          <w:color w:val="002060"/>
          <w:shd w:val="clear" w:color="auto" w:fill="FFFFFF"/>
        </w:rPr>
      </w:pPr>
      <w:r w:rsidRPr="000B3614">
        <w:rPr>
          <w:rFonts w:ascii="Calibri" w:hAnsi="Calibri" w:cs="Calibri"/>
          <w:b/>
          <w:bCs/>
          <w:color w:val="002060"/>
          <w:shd w:val="clear" w:color="auto" w:fill="FFFFFF"/>
        </w:rPr>
        <w:t>Delegacje zagraniczne a bezpieczeństwo pracowników</w:t>
      </w:r>
    </w:p>
    <w:p w14:paraId="6528CF7F" w14:textId="77777777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69AD1952" w14:textId="77777777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  <w:r w:rsidRPr="000B3614">
        <w:rPr>
          <w:rFonts w:ascii="Calibri" w:hAnsi="Calibri" w:cs="Calibri"/>
          <w:color w:val="002060"/>
          <w:shd w:val="clear" w:color="auto" w:fill="FFFFFF"/>
        </w:rPr>
        <w:t>Warto pamiętać, że wypadki przy pracy mogą wydarzyć się nie tylko w Polsce, ale także w trakcie zagranicznych delegacji. W takich sytuacjach kluczowe staje się odpowiednie przygotowanie formalne. Pracownik, który wyjeżdża służbowo poza granice kraju, powinien posiadać Europejską Kartę Ubezpieczenia Zdrowotnego (EKUZ) wystawioną na cele zawodowe.</w:t>
      </w:r>
    </w:p>
    <w:p w14:paraId="30B144FE" w14:textId="77777777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color w:val="002060"/>
          <w:shd w:val="clear" w:color="auto" w:fill="FFFFFF"/>
        </w:rPr>
      </w:pPr>
    </w:p>
    <w:p w14:paraId="05C4A0E1" w14:textId="602CE26D" w:rsidR="000B3614" w:rsidRDefault="000B3614" w:rsidP="000B3614">
      <w:pPr>
        <w:spacing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0B3614">
        <w:rPr>
          <w:rFonts w:ascii="Calibri" w:hAnsi="Calibri" w:cs="Calibri"/>
          <w:color w:val="002060"/>
          <w:shd w:val="clear" w:color="auto" w:fill="FFFFFF"/>
        </w:rPr>
        <w:t xml:space="preserve">– </w:t>
      </w:r>
      <w:r w:rsidRPr="000B3614">
        <w:rPr>
          <w:rFonts w:ascii="Calibri" w:hAnsi="Calibri" w:cs="Calibri"/>
          <w:i/>
          <w:iCs/>
          <w:color w:val="002060"/>
          <w:shd w:val="clear" w:color="auto" w:fill="FFFFFF"/>
        </w:rPr>
        <w:t>Nawet jeśli pracownik ma już EKUZ wydany w związku z wyjazdami turystycznymi, nie zastępuje on karty obowiązującej podczas delegacji. Brak właściwego dokumentu może skutkować poważnymi problemami – od trudności z leczeniem w zagranicznych placówkach po brak możliwości sporządzenia protokołu powypadkowego w Polsce. To pozornie drobny obowiązek, ale w praktyce decyduje o bezpieczeństwie zatrudnionego oraz sprawnym przeprowadzeniu całej procedury powypadkowej</w:t>
      </w:r>
      <w:r>
        <w:rPr>
          <w:rFonts w:ascii="Calibri" w:hAnsi="Calibri" w:cs="Calibri"/>
          <w:color w:val="002060"/>
          <w:shd w:val="clear" w:color="auto" w:fill="FFFFFF"/>
        </w:rPr>
        <w:t xml:space="preserve"> </w:t>
      </w:r>
      <w:r w:rsidRPr="000B3614">
        <w:rPr>
          <w:rFonts w:ascii="Calibri" w:hAnsi="Calibri" w:cs="Calibri"/>
          <w:color w:val="002060"/>
          <w:shd w:val="clear" w:color="auto" w:fill="FFFFFF"/>
        </w:rPr>
        <w:t xml:space="preserve">– </w:t>
      </w:r>
      <w:r w:rsidRPr="000B3614">
        <w:rPr>
          <w:rFonts w:ascii="Calibri" w:hAnsi="Calibri" w:cs="Calibri"/>
          <w:b/>
          <w:bCs/>
          <w:color w:val="002060"/>
          <w:shd w:val="clear" w:color="auto" w:fill="FFFFFF"/>
        </w:rPr>
        <w:t xml:space="preserve">podsumowuje </w:t>
      </w:r>
      <w:r w:rsidRPr="000B3614">
        <w:rPr>
          <w:rFonts w:ascii="Calibri" w:hAnsi="Calibri" w:cs="Calibri"/>
          <w:b/>
          <w:bCs/>
          <w:color w:val="002060"/>
        </w:rPr>
        <w:t>Iwona Wieczyńska, dyrektor regionu w Grupie Progres</w:t>
      </w:r>
      <w:r>
        <w:rPr>
          <w:rFonts w:ascii="Calibri" w:hAnsi="Calibri" w:cs="Calibri"/>
          <w:b/>
          <w:bCs/>
          <w:color w:val="002060"/>
        </w:rPr>
        <w:t>.</w:t>
      </w:r>
    </w:p>
    <w:p w14:paraId="34D9489A" w14:textId="77777777" w:rsidR="000B3614" w:rsidRPr="000B3614" w:rsidRDefault="000B3614" w:rsidP="000B3614">
      <w:pPr>
        <w:spacing w:line="276" w:lineRule="auto"/>
        <w:jc w:val="both"/>
        <w:rPr>
          <w:rFonts w:ascii="Calibri" w:hAnsi="Calibri" w:cs="Calibri"/>
          <w:b/>
          <w:bCs/>
          <w:color w:val="002060"/>
          <w:shd w:val="clear" w:color="auto" w:fill="FFFFFF"/>
        </w:rPr>
      </w:pPr>
    </w:p>
    <w:p w14:paraId="43F8C2C9" w14:textId="191B27E3" w:rsidR="003E1F86" w:rsidRPr="005350E0" w:rsidRDefault="003E1F86" w:rsidP="000B361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FA49FB">
        <w:rPr>
          <w:rFonts w:asciiTheme="minorHAnsi" w:hAnsiTheme="minorHAnsi" w:cstheme="minorHAnsi"/>
          <w:color w:val="002060"/>
          <w:sz w:val="18"/>
          <w:szCs w:val="18"/>
        </w:rPr>
        <w:t>***</w:t>
      </w:r>
    </w:p>
    <w:p w14:paraId="3B1AE146" w14:textId="63E416EF" w:rsidR="009F1EDC" w:rsidRDefault="00E20A60" w:rsidP="000B361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</w:pPr>
      <w:r w:rsidRPr="00FA49FB">
        <w:rPr>
          <w:rFonts w:asciiTheme="minorHAnsi" w:hAnsiTheme="minorHAnsi" w:cstheme="minorHAnsi"/>
          <w:b/>
          <w:bCs/>
          <w:color w:val="002060"/>
          <w:sz w:val="18"/>
          <w:szCs w:val="18"/>
          <w:shd w:val="clear" w:color="auto" w:fill="FFFFFF"/>
        </w:rPr>
        <w:t xml:space="preserve">Holding Grupy Progres </w:t>
      </w:r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</w:t>
      </w:r>
      <w:r w:rsidR="0029614E"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</w:t>
      </w:r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granicą. Organizacja była wielokrotnie nagradzana w prestiżowych konkursach, plebiscytach i rankingach tj. m.in. Diamenty Forbesa (2017 r. – laureat)</w:t>
      </w:r>
      <w:r w:rsidR="00765B35"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,</w:t>
      </w:r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Gazele Biznesu (2020 r. – druga najdynamiczniej rozwijająca się firma w Polsce), Medal Europejski (2021 r.), Lider Polskiego Biznesu (2022 r.), Firma Przyjazna Cudzoziemcom (2022 r.) czy Ambasador Polskiej Gospodarki BCC (2023 r.). Grupa Progres jest członkiem Stowarzyszenia </w:t>
      </w:r>
      <w:proofErr w:type="gramStart"/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>We!come</w:t>
      </w:r>
      <w:proofErr w:type="gramEnd"/>
      <w:r w:rsidRPr="00FA49FB"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  <w:t xml:space="preserve"> – zrzeszającego pracodawców zatrudniających cudzoziemców w Polsce, posiada też certyfikat Równości Płac przyznawany przez Business Center Club.</w:t>
      </w:r>
    </w:p>
    <w:p w14:paraId="58D25BA2" w14:textId="77777777" w:rsidR="000B3614" w:rsidRPr="00FA49FB" w:rsidRDefault="000B3614" w:rsidP="000B361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2060"/>
          <w:sz w:val="18"/>
          <w:szCs w:val="18"/>
          <w:shd w:val="clear" w:color="auto" w:fill="FFFFFF"/>
        </w:rPr>
      </w:pPr>
    </w:p>
    <w:p w14:paraId="56E2D912" w14:textId="77777777" w:rsidR="009F1EDC" w:rsidRPr="00FA49FB" w:rsidRDefault="003E1F86" w:rsidP="000B361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2060"/>
        </w:rPr>
      </w:pPr>
      <w:r w:rsidRPr="00FA49FB">
        <w:rPr>
          <w:rFonts w:ascii="Calibri" w:hAnsi="Calibri" w:cs="Calibri"/>
          <w:b/>
          <w:color w:val="002060"/>
        </w:rPr>
        <w:t>***</w:t>
      </w:r>
    </w:p>
    <w:p w14:paraId="2567F060" w14:textId="77777777" w:rsidR="00C32699" w:rsidRPr="00FA49FB" w:rsidRDefault="00E05548" w:rsidP="000B361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2060"/>
        </w:rPr>
      </w:pPr>
      <w:r w:rsidRPr="00FA49FB">
        <w:rPr>
          <w:rFonts w:ascii="Calibri" w:hAnsi="Calibri" w:cs="Calibri"/>
          <w:b/>
          <w:color w:val="002060"/>
        </w:rPr>
        <w:t xml:space="preserve">Biuro prasowe Grupy Progres: </w:t>
      </w:r>
    </w:p>
    <w:p w14:paraId="2514AFF4" w14:textId="25AEF10B" w:rsidR="00C32699" w:rsidRPr="00FA49FB" w:rsidRDefault="00E05548" w:rsidP="000B361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2060"/>
        </w:rPr>
      </w:pPr>
      <w:r w:rsidRPr="00FA49FB">
        <w:rPr>
          <w:rFonts w:ascii="Calibri" w:hAnsi="Calibri" w:cs="Calibri"/>
          <w:color w:val="002060"/>
        </w:rPr>
        <w:t>Kamila Tyniec</w:t>
      </w:r>
      <w:r w:rsidR="009F1EDC" w:rsidRPr="00FA49FB">
        <w:rPr>
          <w:rFonts w:ascii="Calibri" w:hAnsi="Calibri" w:cs="Calibri"/>
          <w:color w:val="002060"/>
        </w:rPr>
        <w:t xml:space="preserve"> </w:t>
      </w:r>
    </w:p>
    <w:p w14:paraId="089A0EF4" w14:textId="0362B354" w:rsidR="00DF5583" w:rsidRPr="00FA49FB" w:rsidRDefault="00E05548" w:rsidP="000B361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2060"/>
        </w:rPr>
      </w:pPr>
      <w:r w:rsidRPr="00FA49FB">
        <w:rPr>
          <w:rFonts w:ascii="Calibri" w:hAnsi="Calibri" w:cs="Calibri"/>
          <w:color w:val="002060"/>
        </w:rPr>
        <w:t xml:space="preserve">e-mail: </w:t>
      </w:r>
      <w:hyperlink r:id="rId8" w:history="1">
        <w:r w:rsidRPr="00FA49FB">
          <w:rPr>
            <w:rStyle w:val="Hipercze"/>
            <w:rFonts w:ascii="Calibri" w:hAnsi="Calibri" w:cs="Calibri"/>
            <w:color w:val="002060"/>
          </w:rPr>
          <w:t>k.tyniec@bepr.pl</w:t>
        </w:r>
      </w:hyperlink>
      <w:r w:rsidR="006D016D" w:rsidRPr="00FA49FB">
        <w:rPr>
          <w:rFonts w:ascii="Calibri" w:hAnsi="Calibri" w:cs="Calibri"/>
          <w:color w:val="002060"/>
        </w:rPr>
        <w:t xml:space="preserve"> </w:t>
      </w:r>
      <w:r w:rsidR="001C2858" w:rsidRPr="00FA49FB">
        <w:rPr>
          <w:rFonts w:ascii="Calibri" w:hAnsi="Calibri" w:cs="Calibri"/>
          <w:color w:val="002060"/>
        </w:rPr>
        <w:t xml:space="preserve">lub </w:t>
      </w:r>
      <w:r w:rsidRPr="00FA49FB">
        <w:rPr>
          <w:rFonts w:ascii="Calibri" w:hAnsi="Calibri" w:cs="Calibri"/>
          <w:color w:val="002060"/>
        </w:rPr>
        <w:t>kom. +48 500 690 965</w:t>
      </w:r>
    </w:p>
    <w:sectPr w:rsidR="00DF5583" w:rsidRPr="00FA49FB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577A" w14:textId="77777777" w:rsidR="00CA42FD" w:rsidRDefault="00CA42FD" w:rsidP="00B332FF">
      <w:r>
        <w:separator/>
      </w:r>
    </w:p>
  </w:endnote>
  <w:endnote w:type="continuationSeparator" w:id="0">
    <w:p w14:paraId="36578096" w14:textId="77777777" w:rsidR="00CA42FD" w:rsidRDefault="00CA42FD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FFA7" w14:textId="77777777" w:rsidR="00CA42FD" w:rsidRDefault="00CA42FD" w:rsidP="00B332FF">
      <w:r>
        <w:separator/>
      </w:r>
    </w:p>
  </w:footnote>
  <w:footnote w:type="continuationSeparator" w:id="0">
    <w:p w14:paraId="53177D4D" w14:textId="77777777" w:rsidR="00CA42FD" w:rsidRDefault="00CA42FD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</w:t>
                    </w:r>
                    <w:proofErr w:type="gramStart"/>
                    <w:r w:rsidRPr="009F7EC3">
                      <w:rPr>
                        <w:color w:val="262943"/>
                        <w:sz w:val="12"/>
                        <w:szCs w:val="20"/>
                      </w:rPr>
                      <w:t>389 ;</w:t>
                    </w:r>
                    <w:proofErr w:type="gramEnd"/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3CE7"/>
    <w:multiLevelType w:val="multilevel"/>
    <w:tmpl w:val="3F4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93858"/>
    <w:multiLevelType w:val="multilevel"/>
    <w:tmpl w:val="941A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81313D4"/>
    <w:multiLevelType w:val="multilevel"/>
    <w:tmpl w:val="9D2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8019D"/>
    <w:multiLevelType w:val="hybridMultilevel"/>
    <w:tmpl w:val="45BCA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51A5F"/>
    <w:multiLevelType w:val="hybridMultilevel"/>
    <w:tmpl w:val="EC8C3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B25"/>
    <w:multiLevelType w:val="hybridMultilevel"/>
    <w:tmpl w:val="1542EBDE"/>
    <w:lvl w:ilvl="0" w:tplc="5A40B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F1B41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C7C64"/>
    <w:multiLevelType w:val="multilevel"/>
    <w:tmpl w:val="C210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B51A4"/>
    <w:multiLevelType w:val="multilevel"/>
    <w:tmpl w:val="6A82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7E0429"/>
    <w:multiLevelType w:val="hybridMultilevel"/>
    <w:tmpl w:val="B3B47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937A6"/>
    <w:multiLevelType w:val="hybridMultilevel"/>
    <w:tmpl w:val="349A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5202"/>
    <w:multiLevelType w:val="hybridMultilevel"/>
    <w:tmpl w:val="CAF490D6"/>
    <w:lvl w:ilvl="0" w:tplc="50ECC3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3455F"/>
    <w:multiLevelType w:val="hybridMultilevel"/>
    <w:tmpl w:val="84F2C5DA"/>
    <w:lvl w:ilvl="0" w:tplc="5330E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D6847"/>
    <w:multiLevelType w:val="multilevel"/>
    <w:tmpl w:val="6F18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112116A"/>
    <w:multiLevelType w:val="multilevel"/>
    <w:tmpl w:val="9A9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12269"/>
    <w:multiLevelType w:val="multilevel"/>
    <w:tmpl w:val="9DE0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AA5826"/>
    <w:multiLevelType w:val="multilevel"/>
    <w:tmpl w:val="FE16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8"/>
  </w:num>
  <w:num w:numId="3" w16cid:durableId="1714769923">
    <w:abstractNumId w:val="32"/>
  </w:num>
  <w:num w:numId="4" w16cid:durableId="2081246455">
    <w:abstractNumId w:val="7"/>
  </w:num>
  <w:num w:numId="5" w16cid:durableId="1540320976">
    <w:abstractNumId w:val="31"/>
  </w:num>
  <w:num w:numId="6" w16cid:durableId="1414085053">
    <w:abstractNumId w:val="8"/>
  </w:num>
  <w:num w:numId="7" w16cid:durableId="1214734065">
    <w:abstractNumId w:val="34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33"/>
  </w:num>
  <w:num w:numId="11" w16cid:durableId="1633288417">
    <w:abstractNumId w:val="24"/>
  </w:num>
  <w:num w:numId="12" w16cid:durableId="377634687">
    <w:abstractNumId w:val="21"/>
  </w:num>
  <w:num w:numId="13" w16cid:durableId="911044234">
    <w:abstractNumId w:val="17"/>
  </w:num>
  <w:num w:numId="14" w16cid:durableId="1137453245">
    <w:abstractNumId w:val="23"/>
  </w:num>
  <w:num w:numId="15" w16cid:durableId="470363962">
    <w:abstractNumId w:val="37"/>
  </w:num>
  <w:num w:numId="16" w16cid:durableId="1285700013">
    <w:abstractNumId w:val="15"/>
  </w:num>
  <w:num w:numId="17" w16cid:durableId="1133795825">
    <w:abstractNumId w:val="22"/>
  </w:num>
  <w:num w:numId="18" w16cid:durableId="1303537857">
    <w:abstractNumId w:val="20"/>
  </w:num>
  <w:num w:numId="19" w16cid:durableId="1926765156">
    <w:abstractNumId w:val="12"/>
  </w:num>
  <w:num w:numId="20" w16cid:durableId="485820784">
    <w:abstractNumId w:val="6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10"/>
  </w:num>
  <w:num w:numId="24" w16cid:durableId="141629701">
    <w:abstractNumId w:val="4"/>
  </w:num>
  <w:num w:numId="25" w16cid:durableId="1708481862">
    <w:abstractNumId w:val="39"/>
  </w:num>
  <w:num w:numId="26" w16cid:durableId="1572809611">
    <w:abstractNumId w:val="16"/>
  </w:num>
  <w:num w:numId="27" w16cid:durableId="278342226">
    <w:abstractNumId w:val="29"/>
  </w:num>
  <w:num w:numId="28" w16cid:durableId="1076047496">
    <w:abstractNumId w:val="26"/>
  </w:num>
  <w:num w:numId="29" w16cid:durableId="832259406">
    <w:abstractNumId w:val="38"/>
  </w:num>
  <w:num w:numId="30" w16cid:durableId="1557543297">
    <w:abstractNumId w:val="5"/>
  </w:num>
  <w:num w:numId="31" w16cid:durableId="1412123822">
    <w:abstractNumId w:val="25"/>
  </w:num>
  <w:num w:numId="32" w16cid:durableId="160853862">
    <w:abstractNumId w:val="30"/>
  </w:num>
  <w:num w:numId="33" w16cid:durableId="418717840">
    <w:abstractNumId w:val="36"/>
  </w:num>
  <w:num w:numId="34" w16cid:durableId="793449720">
    <w:abstractNumId w:val="28"/>
  </w:num>
  <w:num w:numId="35" w16cid:durableId="1921525486">
    <w:abstractNumId w:val="13"/>
  </w:num>
  <w:num w:numId="36" w16cid:durableId="443892054">
    <w:abstractNumId w:val="19"/>
  </w:num>
  <w:num w:numId="37" w16cid:durableId="1591893584">
    <w:abstractNumId w:val="35"/>
  </w:num>
  <w:num w:numId="38" w16cid:durableId="1333530970">
    <w:abstractNumId w:val="3"/>
  </w:num>
  <w:num w:numId="39" w16cid:durableId="1633706348">
    <w:abstractNumId w:val="9"/>
  </w:num>
  <w:num w:numId="40" w16cid:durableId="1492060344">
    <w:abstractNumId w:val="14"/>
  </w:num>
  <w:num w:numId="41" w16cid:durableId="20548909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4FF"/>
    <w:rsid w:val="00001F91"/>
    <w:rsid w:val="00006DA4"/>
    <w:rsid w:val="00007963"/>
    <w:rsid w:val="00010BB1"/>
    <w:rsid w:val="00012060"/>
    <w:rsid w:val="000153F5"/>
    <w:rsid w:val="0001637D"/>
    <w:rsid w:val="000166C0"/>
    <w:rsid w:val="000204C6"/>
    <w:rsid w:val="00021EE9"/>
    <w:rsid w:val="00022B0F"/>
    <w:rsid w:val="00024AD8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2A5"/>
    <w:rsid w:val="00053363"/>
    <w:rsid w:val="0005546C"/>
    <w:rsid w:val="000565AC"/>
    <w:rsid w:val="00057B5E"/>
    <w:rsid w:val="0006282B"/>
    <w:rsid w:val="00065D23"/>
    <w:rsid w:val="000668DA"/>
    <w:rsid w:val="00067662"/>
    <w:rsid w:val="00070D5C"/>
    <w:rsid w:val="000745D5"/>
    <w:rsid w:val="00074B37"/>
    <w:rsid w:val="000802A6"/>
    <w:rsid w:val="00080CD1"/>
    <w:rsid w:val="0008182C"/>
    <w:rsid w:val="0008478A"/>
    <w:rsid w:val="00085F74"/>
    <w:rsid w:val="000902C0"/>
    <w:rsid w:val="000924FC"/>
    <w:rsid w:val="00095D09"/>
    <w:rsid w:val="000A1C28"/>
    <w:rsid w:val="000A3077"/>
    <w:rsid w:val="000A3552"/>
    <w:rsid w:val="000A6C87"/>
    <w:rsid w:val="000A7734"/>
    <w:rsid w:val="000B2757"/>
    <w:rsid w:val="000B2884"/>
    <w:rsid w:val="000B3614"/>
    <w:rsid w:val="000B373F"/>
    <w:rsid w:val="000B67A0"/>
    <w:rsid w:val="000C0681"/>
    <w:rsid w:val="000C1D0B"/>
    <w:rsid w:val="000C3270"/>
    <w:rsid w:val="000C348A"/>
    <w:rsid w:val="000C403C"/>
    <w:rsid w:val="000C43C5"/>
    <w:rsid w:val="000C44DC"/>
    <w:rsid w:val="000C4E9A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DA9"/>
    <w:rsid w:val="000E4142"/>
    <w:rsid w:val="000E6326"/>
    <w:rsid w:val="000F2E79"/>
    <w:rsid w:val="000F3308"/>
    <w:rsid w:val="000F4B4C"/>
    <w:rsid w:val="000F4CA4"/>
    <w:rsid w:val="000F50E3"/>
    <w:rsid w:val="00101036"/>
    <w:rsid w:val="00102972"/>
    <w:rsid w:val="00104DBB"/>
    <w:rsid w:val="001063AF"/>
    <w:rsid w:val="00110127"/>
    <w:rsid w:val="001107A3"/>
    <w:rsid w:val="001126CB"/>
    <w:rsid w:val="00112702"/>
    <w:rsid w:val="00114250"/>
    <w:rsid w:val="001219D9"/>
    <w:rsid w:val="001228E9"/>
    <w:rsid w:val="00122968"/>
    <w:rsid w:val="0012631C"/>
    <w:rsid w:val="00127BC7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A44"/>
    <w:rsid w:val="00164A7D"/>
    <w:rsid w:val="00165249"/>
    <w:rsid w:val="00165D83"/>
    <w:rsid w:val="001678BC"/>
    <w:rsid w:val="00170E88"/>
    <w:rsid w:val="00172852"/>
    <w:rsid w:val="00173873"/>
    <w:rsid w:val="00180C30"/>
    <w:rsid w:val="00180F6C"/>
    <w:rsid w:val="001834B1"/>
    <w:rsid w:val="00185BD9"/>
    <w:rsid w:val="00186403"/>
    <w:rsid w:val="001869A6"/>
    <w:rsid w:val="00190903"/>
    <w:rsid w:val="00192A33"/>
    <w:rsid w:val="0019352E"/>
    <w:rsid w:val="001944AA"/>
    <w:rsid w:val="00194540"/>
    <w:rsid w:val="00196A38"/>
    <w:rsid w:val="00196D25"/>
    <w:rsid w:val="001A077B"/>
    <w:rsid w:val="001A1BCB"/>
    <w:rsid w:val="001A3B60"/>
    <w:rsid w:val="001A3CF1"/>
    <w:rsid w:val="001A432A"/>
    <w:rsid w:val="001A4879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6558"/>
    <w:rsid w:val="001C074B"/>
    <w:rsid w:val="001C090A"/>
    <w:rsid w:val="001C2858"/>
    <w:rsid w:val="001C5671"/>
    <w:rsid w:val="001C6826"/>
    <w:rsid w:val="001C6A76"/>
    <w:rsid w:val="001D0185"/>
    <w:rsid w:val="001D06ED"/>
    <w:rsid w:val="001D2D28"/>
    <w:rsid w:val="001D35E3"/>
    <w:rsid w:val="001D50C9"/>
    <w:rsid w:val="001D67B4"/>
    <w:rsid w:val="001D6B65"/>
    <w:rsid w:val="001D752F"/>
    <w:rsid w:val="001E2108"/>
    <w:rsid w:val="001E358E"/>
    <w:rsid w:val="001E74E4"/>
    <w:rsid w:val="001E7FE8"/>
    <w:rsid w:val="001F03BC"/>
    <w:rsid w:val="001F14B3"/>
    <w:rsid w:val="001F2E7D"/>
    <w:rsid w:val="001F4C86"/>
    <w:rsid w:val="001F5071"/>
    <w:rsid w:val="001F7C74"/>
    <w:rsid w:val="002036E2"/>
    <w:rsid w:val="0020602B"/>
    <w:rsid w:val="002102B1"/>
    <w:rsid w:val="002102D7"/>
    <w:rsid w:val="00213FDE"/>
    <w:rsid w:val="00215C72"/>
    <w:rsid w:val="0021608E"/>
    <w:rsid w:val="00217BD9"/>
    <w:rsid w:val="00220577"/>
    <w:rsid w:val="00221DC3"/>
    <w:rsid w:val="0022291A"/>
    <w:rsid w:val="00225843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41D"/>
    <w:rsid w:val="00237E0C"/>
    <w:rsid w:val="00240AE2"/>
    <w:rsid w:val="00241CDE"/>
    <w:rsid w:val="002427D8"/>
    <w:rsid w:val="00243649"/>
    <w:rsid w:val="00243BF9"/>
    <w:rsid w:val="00243E90"/>
    <w:rsid w:val="00245E4E"/>
    <w:rsid w:val="00250586"/>
    <w:rsid w:val="00251829"/>
    <w:rsid w:val="00251CB2"/>
    <w:rsid w:val="002527CA"/>
    <w:rsid w:val="00252DE4"/>
    <w:rsid w:val="002547CE"/>
    <w:rsid w:val="00254F0A"/>
    <w:rsid w:val="00254F35"/>
    <w:rsid w:val="00256855"/>
    <w:rsid w:val="0026320C"/>
    <w:rsid w:val="00270F72"/>
    <w:rsid w:val="00271898"/>
    <w:rsid w:val="00274C55"/>
    <w:rsid w:val="0027513E"/>
    <w:rsid w:val="00276CE6"/>
    <w:rsid w:val="0027776A"/>
    <w:rsid w:val="00280B72"/>
    <w:rsid w:val="002830F7"/>
    <w:rsid w:val="00286E1F"/>
    <w:rsid w:val="0028720F"/>
    <w:rsid w:val="00290D7B"/>
    <w:rsid w:val="00293D11"/>
    <w:rsid w:val="0029614E"/>
    <w:rsid w:val="00296C98"/>
    <w:rsid w:val="00296D40"/>
    <w:rsid w:val="002A0C91"/>
    <w:rsid w:val="002A1444"/>
    <w:rsid w:val="002A3B0C"/>
    <w:rsid w:val="002A3BAD"/>
    <w:rsid w:val="002A406D"/>
    <w:rsid w:val="002A5441"/>
    <w:rsid w:val="002A6884"/>
    <w:rsid w:val="002A6F1A"/>
    <w:rsid w:val="002A7538"/>
    <w:rsid w:val="002B0703"/>
    <w:rsid w:val="002B07B8"/>
    <w:rsid w:val="002B1607"/>
    <w:rsid w:val="002B2936"/>
    <w:rsid w:val="002B4784"/>
    <w:rsid w:val="002B550C"/>
    <w:rsid w:val="002B6D71"/>
    <w:rsid w:val="002C08E9"/>
    <w:rsid w:val="002C19BC"/>
    <w:rsid w:val="002C295A"/>
    <w:rsid w:val="002C7FCC"/>
    <w:rsid w:val="002D06AC"/>
    <w:rsid w:val="002D14F1"/>
    <w:rsid w:val="002E1DA6"/>
    <w:rsid w:val="002E2D6F"/>
    <w:rsid w:val="002E3D12"/>
    <w:rsid w:val="002E4735"/>
    <w:rsid w:val="002E4D8D"/>
    <w:rsid w:val="002E576E"/>
    <w:rsid w:val="002E6E25"/>
    <w:rsid w:val="002E6E5D"/>
    <w:rsid w:val="002E6FD1"/>
    <w:rsid w:val="002F04AB"/>
    <w:rsid w:val="002F3363"/>
    <w:rsid w:val="002F6058"/>
    <w:rsid w:val="00300D4E"/>
    <w:rsid w:val="00301E41"/>
    <w:rsid w:val="0031516E"/>
    <w:rsid w:val="00315E24"/>
    <w:rsid w:val="00321C33"/>
    <w:rsid w:val="00323633"/>
    <w:rsid w:val="00326F34"/>
    <w:rsid w:val="0032786E"/>
    <w:rsid w:val="0033021F"/>
    <w:rsid w:val="0033214D"/>
    <w:rsid w:val="00333D0B"/>
    <w:rsid w:val="00337319"/>
    <w:rsid w:val="003414F1"/>
    <w:rsid w:val="0034328E"/>
    <w:rsid w:val="00345ECE"/>
    <w:rsid w:val="00346619"/>
    <w:rsid w:val="003517F9"/>
    <w:rsid w:val="00352BFB"/>
    <w:rsid w:val="00353D63"/>
    <w:rsid w:val="00354CB2"/>
    <w:rsid w:val="00355589"/>
    <w:rsid w:val="0035648D"/>
    <w:rsid w:val="00356E10"/>
    <w:rsid w:val="00357736"/>
    <w:rsid w:val="00360557"/>
    <w:rsid w:val="00360B3F"/>
    <w:rsid w:val="00360E7B"/>
    <w:rsid w:val="00361517"/>
    <w:rsid w:val="003629C8"/>
    <w:rsid w:val="00363526"/>
    <w:rsid w:val="00363943"/>
    <w:rsid w:val="00364942"/>
    <w:rsid w:val="00365CAD"/>
    <w:rsid w:val="00367362"/>
    <w:rsid w:val="0036739B"/>
    <w:rsid w:val="0037027A"/>
    <w:rsid w:val="003708EF"/>
    <w:rsid w:val="0037337E"/>
    <w:rsid w:val="00374608"/>
    <w:rsid w:val="00375853"/>
    <w:rsid w:val="003759D7"/>
    <w:rsid w:val="00375CC5"/>
    <w:rsid w:val="00381731"/>
    <w:rsid w:val="00381CC9"/>
    <w:rsid w:val="00383554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708D"/>
    <w:rsid w:val="003B758A"/>
    <w:rsid w:val="003C022A"/>
    <w:rsid w:val="003C2703"/>
    <w:rsid w:val="003C2B95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16614"/>
    <w:rsid w:val="00420B38"/>
    <w:rsid w:val="004244F3"/>
    <w:rsid w:val="00427773"/>
    <w:rsid w:val="004307A5"/>
    <w:rsid w:val="004323D1"/>
    <w:rsid w:val="00433555"/>
    <w:rsid w:val="00433886"/>
    <w:rsid w:val="0043438C"/>
    <w:rsid w:val="004354B9"/>
    <w:rsid w:val="0043565D"/>
    <w:rsid w:val="0044082E"/>
    <w:rsid w:val="00441DF5"/>
    <w:rsid w:val="00441F95"/>
    <w:rsid w:val="00442CE6"/>
    <w:rsid w:val="00442FBD"/>
    <w:rsid w:val="00444B1F"/>
    <w:rsid w:val="00445800"/>
    <w:rsid w:val="00445A45"/>
    <w:rsid w:val="0044702F"/>
    <w:rsid w:val="004476A4"/>
    <w:rsid w:val="00447B09"/>
    <w:rsid w:val="004502E9"/>
    <w:rsid w:val="00451035"/>
    <w:rsid w:val="004515B6"/>
    <w:rsid w:val="00451DF4"/>
    <w:rsid w:val="004606E5"/>
    <w:rsid w:val="00460C94"/>
    <w:rsid w:val="00461C45"/>
    <w:rsid w:val="004623B8"/>
    <w:rsid w:val="00463167"/>
    <w:rsid w:val="00465B97"/>
    <w:rsid w:val="00470A1B"/>
    <w:rsid w:val="00470A22"/>
    <w:rsid w:val="00476C4A"/>
    <w:rsid w:val="004774D8"/>
    <w:rsid w:val="00477A42"/>
    <w:rsid w:val="004815B8"/>
    <w:rsid w:val="00481951"/>
    <w:rsid w:val="00493DC6"/>
    <w:rsid w:val="00494103"/>
    <w:rsid w:val="00495EC6"/>
    <w:rsid w:val="004972D7"/>
    <w:rsid w:val="00497D22"/>
    <w:rsid w:val="004A232B"/>
    <w:rsid w:val="004A2351"/>
    <w:rsid w:val="004A2A29"/>
    <w:rsid w:val="004A445E"/>
    <w:rsid w:val="004A4C2A"/>
    <w:rsid w:val="004A54CF"/>
    <w:rsid w:val="004B1707"/>
    <w:rsid w:val="004B7E12"/>
    <w:rsid w:val="004C0911"/>
    <w:rsid w:val="004C1449"/>
    <w:rsid w:val="004C681F"/>
    <w:rsid w:val="004C7F8B"/>
    <w:rsid w:val="004D02EB"/>
    <w:rsid w:val="004D70D3"/>
    <w:rsid w:val="004D797C"/>
    <w:rsid w:val="004E09FB"/>
    <w:rsid w:val="004E1D24"/>
    <w:rsid w:val="004E22CE"/>
    <w:rsid w:val="004E3C1B"/>
    <w:rsid w:val="004E3C8A"/>
    <w:rsid w:val="004E64AC"/>
    <w:rsid w:val="004E65F8"/>
    <w:rsid w:val="004F032D"/>
    <w:rsid w:val="004F16A8"/>
    <w:rsid w:val="004F1E0F"/>
    <w:rsid w:val="004F2603"/>
    <w:rsid w:val="004F42D5"/>
    <w:rsid w:val="004F6E3E"/>
    <w:rsid w:val="004F7ED5"/>
    <w:rsid w:val="00500DDE"/>
    <w:rsid w:val="00505414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62E5"/>
    <w:rsid w:val="0053033B"/>
    <w:rsid w:val="00530981"/>
    <w:rsid w:val="00531E3D"/>
    <w:rsid w:val="0053339A"/>
    <w:rsid w:val="00533A72"/>
    <w:rsid w:val="0053464A"/>
    <w:rsid w:val="005350E0"/>
    <w:rsid w:val="00536118"/>
    <w:rsid w:val="00536777"/>
    <w:rsid w:val="00540912"/>
    <w:rsid w:val="00540F74"/>
    <w:rsid w:val="00541453"/>
    <w:rsid w:val="00543494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0ECF"/>
    <w:rsid w:val="00572EF3"/>
    <w:rsid w:val="005740D7"/>
    <w:rsid w:val="005747AE"/>
    <w:rsid w:val="005747CF"/>
    <w:rsid w:val="00574CB1"/>
    <w:rsid w:val="00577FBB"/>
    <w:rsid w:val="005816A8"/>
    <w:rsid w:val="00584F93"/>
    <w:rsid w:val="00585849"/>
    <w:rsid w:val="00586D0D"/>
    <w:rsid w:val="0059056F"/>
    <w:rsid w:val="00592498"/>
    <w:rsid w:val="005927B2"/>
    <w:rsid w:val="00594363"/>
    <w:rsid w:val="00594EDA"/>
    <w:rsid w:val="005952CE"/>
    <w:rsid w:val="005956A4"/>
    <w:rsid w:val="00596452"/>
    <w:rsid w:val="005973BF"/>
    <w:rsid w:val="005A09C9"/>
    <w:rsid w:val="005A212B"/>
    <w:rsid w:val="005A3F81"/>
    <w:rsid w:val="005A634F"/>
    <w:rsid w:val="005B28FC"/>
    <w:rsid w:val="005B43EC"/>
    <w:rsid w:val="005C0701"/>
    <w:rsid w:val="005C4587"/>
    <w:rsid w:val="005C67FD"/>
    <w:rsid w:val="005C7553"/>
    <w:rsid w:val="005D0E64"/>
    <w:rsid w:val="005D1823"/>
    <w:rsid w:val="005D1E6D"/>
    <w:rsid w:val="005D25B5"/>
    <w:rsid w:val="005D39B9"/>
    <w:rsid w:val="005D502B"/>
    <w:rsid w:val="005D56D5"/>
    <w:rsid w:val="005E217E"/>
    <w:rsid w:val="005E3401"/>
    <w:rsid w:val="005E3537"/>
    <w:rsid w:val="005F355A"/>
    <w:rsid w:val="005F5E11"/>
    <w:rsid w:val="005F6596"/>
    <w:rsid w:val="005F7D58"/>
    <w:rsid w:val="00600A66"/>
    <w:rsid w:val="00605048"/>
    <w:rsid w:val="00606CAA"/>
    <w:rsid w:val="006110BF"/>
    <w:rsid w:val="006130CC"/>
    <w:rsid w:val="006144DB"/>
    <w:rsid w:val="00615C30"/>
    <w:rsid w:val="00617839"/>
    <w:rsid w:val="00617A45"/>
    <w:rsid w:val="006206B8"/>
    <w:rsid w:val="00622393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1F34"/>
    <w:rsid w:val="00632A70"/>
    <w:rsid w:val="00634F14"/>
    <w:rsid w:val="0064167D"/>
    <w:rsid w:val="00643689"/>
    <w:rsid w:val="006450DC"/>
    <w:rsid w:val="006459F8"/>
    <w:rsid w:val="006462A5"/>
    <w:rsid w:val="00651118"/>
    <w:rsid w:val="00653AA2"/>
    <w:rsid w:val="0065583E"/>
    <w:rsid w:val="00657513"/>
    <w:rsid w:val="0066106B"/>
    <w:rsid w:val="00662504"/>
    <w:rsid w:val="006642A2"/>
    <w:rsid w:val="00664495"/>
    <w:rsid w:val="00664D61"/>
    <w:rsid w:val="00665D13"/>
    <w:rsid w:val="00670266"/>
    <w:rsid w:val="006737F1"/>
    <w:rsid w:val="00674190"/>
    <w:rsid w:val="006751EB"/>
    <w:rsid w:val="00676761"/>
    <w:rsid w:val="006829CF"/>
    <w:rsid w:val="006841F1"/>
    <w:rsid w:val="006847B1"/>
    <w:rsid w:val="00691170"/>
    <w:rsid w:val="00691C0E"/>
    <w:rsid w:val="006A1184"/>
    <w:rsid w:val="006A17E8"/>
    <w:rsid w:val="006B557F"/>
    <w:rsid w:val="006B7FD5"/>
    <w:rsid w:val="006C0683"/>
    <w:rsid w:val="006C0A82"/>
    <w:rsid w:val="006C3A25"/>
    <w:rsid w:val="006C5587"/>
    <w:rsid w:val="006D016D"/>
    <w:rsid w:val="006D32CA"/>
    <w:rsid w:val="006D5D94"/>
    <w:rsid w:val="006D62CE"/>
    <w:rsid w:val="006D6514"/>
    <w:rsid w:val="006D652A"/>
    <w:rsid w:val="006D6FC0"/>
    <w:rsid w:val="006E1DD8"/>
    <w:rsid w:val="006E38A9"/>
    <w:rsid w:val="006E41A7"/>
    <w:rsid w:val="006E57A4"/>
    <w:rsid w:val="006E5DFE"/>
    <w:rsid w:val="006E657F"/>
    <w:rsid w:val="006F0E35"/>
    <w:rsid w:val="006F377D"/>
    <w:rsid w:val="006F61B4"/>
    <w:rsid w:val="00700040"/>
    <w:rsid w:val="007011C7"/>
    <w:rsid w:val="0070165E"/>
    <w:rsid w:val="00701684"/>
    <w:rsid w:val="00702611"/>
    <w:rsid w:val="007033CE"/>
    <w:rsid w:val="00707193"/>
    <w:rsid w:val="007104E2"/>
    <w:rsid w:val="00710D44"/>
    <w:rsid w:val="00711579"/>
    <w:rsid w:val="00714B45"/>
    <w:rsid w:val="007157FA"/>
    <w:rsid w:val="00717D5E"/>
    <w:rsid w:val="00722D75"/>
    <w:rsid w:val="007240ED"/>
    <w:rsid w:val="00724C9D"/>
    <w:rsid w:val="00731CCB"/>
    <w:rsid w:val="00732CF0"/>
    <w:rsid w:val="00733113"/>
    <w:rsid w:val="00734B04"/>
    <w:rsid w:val="00735D8C"/>
    <w:rsid w:val="00740A88"/>
    <w:rsid w:val="00741F7E"/>
    <w:rsid w:val="00745D06"/>
    <w:rsid w:val="007465C3"/>
    <w:rsid w:val="00747364"/>
    <w:rsid w:val="00747C7C"/>
    <w:rsid w:val="007508C7"/>
    <w:rsid w:val="007520B9"/>
    <w:rsid w:val="00752FA8"/>
    <w:rsid w:val="00753078"/>
    <w:rsid w:val="00753BC7"/>
    <w:rsid w:val="00754944"/>
    <w:rsid w:val="007565E2"/>
    <w:rsid w:val="00760728"/>
    <w:rsid w:val="0076091F"/>
    <w:rsid w:val="00760942"/>
    <w:rsid w:val="007638C4"/>
    <w:rsid w:val="00765409"/>
    <w:rsid w:val="00765B35"/>
    <w:rsid w:val="007676BC"/>
    <w:rsid w:val="0077092E"/>
    <w:rsid w:val="007716D7"/>
    <w:rsid w:val="00772E11"/>
    <w:rsid w:val="00774B2F"/>
    <w:rsid w:val="0078068B"/>
    <w:rsid w:val="007811DB"/>
    <w:rsid w:val="00781F52"/>
    <w:rsid w:val="00783348"/>
    <w:rsid w:val="00785E03"/>
    <w:rsid w:val="00790823"/>
    <w:rsid w:val="00791B84"/>
    <w:rsid w:val="0079280D"/>
    <w:rsid w:val="0079325F"/>
    <w:rsid w:val="00794B3A"/>
    <w:rsid w:val="00795226"/>
    <w:rsid w:val="007A0A35"/>
    <w:rsid w:val="007A6828"/>
    <w:rsid w:val="007B2416"/>
    <w:rsid w:val="007B3D7D"/>
    <w:rsid w:val="007B404D"/>
    <w:rsid w:val="007B5463"/>
    <w:rsid w:val="007B7852"/>
    <w:rsid w:val="007C01D3"/>
    <w:rsid w:val="007C0757"/>
    <w:rsid w:val="007C0AE6"/>
    <w:rsid w:val="007C36E9"/>
    <w:rsid w:val="007C3EB9"/>
    <w:rsid w:val="007C50A0"/>
    <w:rsid w:val="007C7383"/>
    <w:rsid w:val="007C75A5"/>
    <w:rsid w:val="007C7859"/>
    <w:rsid w:val="007C7BDD"/>
    <w:rsid w:val="007D0392"/>
    <w:rsid w:val="007D0D8F"/>
    <w:rsid w:val="007D1FD1"/>
    <w:rsid w:val="007D2EEF"/>
    <w:rsid w:val="007D437E"/>
    <w:rsid w:val="007D477E"/>
    <w:rsid w:val="007D737D"/>
    <w:rsid w:val="007D7DB7"/>
    <w:rsid w:val="007E0B90"/>
    <w:rsid w:val="007E1799"/>
    <w:rsid w:val="007E27AB"/>
    <w:rsid w:val="007E49C4"/>
    <w:rsid w:val="007E4E0D"/>
    <w:rsid w:val="007E5349"/>
    <w:rsid w:val="007E5F53"/>
    <w:rsid w:val="007F0262"/>
    <w:rsid w:val="007F0D5A"/>
    <w:rsid w:val="007F2FA0"/>
    <w:rsid w:val="007F35C0"/>
    <w:rsid w:val="007F3A4F"/>
    <w:rsid w:val="007F3E84"/>
    <w:rsid w:val="007F55BA"/>
    <w:rsid w:val="007F5EFA"/>
    <w:rsid w:val="007F74A0"/>
    <w:rsid w:val="00804413"/>
    <w:rsid w:val="00804AEC"/>
    <w:rsid w:val="00804B88"/>
    <w:rsid w:val="0080517C"/>
    <w:rsid w:val="00805960"/>
    <w:rsid w:val="008140F1"/>
    <w:rsid w:val="008156D6"/>
    <w:rsid w:val="00817FDF"/>
    <w:rsid w:val="0082049F"/>
    <w:rsid w:val="00821C18"/>
    <w:rsid w:val="00824569"/>
    <w:rsid w:val="00826879"/>
    <w:rsid w:val="00826F22"/>
    <w:rsid w:val="00830314"/>
    <w:rsid w:val="00835696"/>
    <w:rsid w:val="008375C6"/>
    <w:rsid w:val="00840053"/>
    <w:rsid w:val="00842A01"/>
    <w:rsid w:val="008464B2"/>
    <w:rsid w:val="00846A3A"/>
    <w:rsid w:val="00847211"/>
    <w:rsid w:val="00851356"/>
    <w:rsid w:val="008546FE"/>
    <w:rsid w:val="008557A8"/>
    <w:rsid w:val="008561D1"/>
    <w:rsid w:val="00856A9E"/>
    <w:rsid w:val="00873462"/>
    <w:rsid w:val="008738BB"/>
    <w:rsid w:val="00874F3D"/>
    <w:rsid w:val="0087508A"/>
    <w:rsid w:val="008777F9"/>
    <w:rsid w:val="0088277C"/>
    <w:rsid w:val="00887378"/>
    <w:rsid w:val="0089087A"/>
    <w:rsid w:val="00891AB5"/>
    <w:rsid w:val="00893008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F3E"/>
    <w:rsid w:val="008C0F1C"/>
    <w:rsid w:val="008C2406"/>
    <w:rsid w:val="008C49B6"/>
    <w:rsid w:val="008C6CA2"/>
    <w:rsid w:val="008D0ED1"/>
    <w:rsid w:val="008D2771"/>
    <w:rsid w:val="008D3698"/>
    <w:rsid w:val="008D4275"/>
    <w:rsid w:val="008D4AE3"/>
    <w:rsid w:val="008D6766"/>
    <w:rsid w:val="008D6BB0"/>
    <w:rsid w:val="008D7F9C"/>
    <w:rsid w:val="008E0E59"/>
    <w:rsid w:val="008E0F0E"/>
    <w:rsid w:val="008E11FC"/>
    <w:rsid w:val="008E1876"/>
    <w:rsid w:val="008E1988"/>
    <w:rsid w:val="008E1FE5"/>
    <w:rsid w:val="008E380D"/>
    <w:rsid w:val="008E7511"/>
    <w:rsid w:val="008F3013"/>
    <w:rsid w:val="00900BC8"/>
    <w:rsid w:val="00901B5D"/>
    <w:rsid w:val="00902789"/>
    <w:rsid w:val="00902AA9"/>
    <w:rsid w:val="00902F43"/>
    <w:rsid w:val="00903D97"/>
    <w:rsid w:val="00904401"/>
    <w:rsid w:val="009050EC"/>
    <w:rsid w:val="009072B0"/>
    <w:rsid w:val="0091062A"/>
    <w:rsid w:val="00910A13"/>
    <w:rsid w:val="00911CFB"/>
    <w:rsid w:val="0091269A"/>
    <w:rsid w:val="00912723"/>
    <w:rsid w:val="009157F2"/>
    <w:rsid w:val="00915B6C"/>
    <w:rsid w:val="00923A2F"/>
    <w:rsid w:val="00924EAB"/>
    <w:rsid w:val="0093053E"/>
    <w:rsid w:val="00930992"/>
    <w:rsid w:val="00933034"/>
    <w:rsid w:val="00935535"/>
    <w:rsid w:val="009361D1"/>
    <w:rsid w:val="00937137"/>
    <w:rsid w:val="00937AF8"/>
    <w:rsid w:val="00941295"/>
    <w:rsid w:val="00945355"/>
    <w:rsid w:val="00945EFD"/>
    <w:rsid w:val="00947D6D"/>
    <w:rsid w:val="00951E1F"/>
    <w:rsid w:val="00952436"/>
    <w:rsid w:val="00952854"/>
    <w:rsid w:val="009540D7"/>
    <w:rsid w:val="00955120"/>
    <w:rsid w:val="00956DA8"/>
    <w:rsid w:val="009571ED"/>
    <w:rsid w:val="00960AC1"/>
    <w:rsid w:val="0096237C"/>
    <w:rsid w:val="009646A6"/>
    <w:rsid w:val="009660F1"/>
    <w:rsid w:val="00966636"/>
    <w:rsid w:val="00972E58"/>
    <w:rsid w:val="0097356E"/>
    <w:rsid w:val="00973F2E"/>
    <w:rsid w:val="00974C5D"/>
    <w:rsid w:val="00974D74"/>
    <w:rsid w:val="009770C8"/>
    <w:rsid w:val="009772E6"/>
    <w:rsid w:val="00981EC9"/>
    <w:rsid w:val="00982A64"/>
    <w:rsid w:val="009833BE"/>
    <w:rsid w:val="00990859"/>
    <w:rsid w:val="00990FC5"/>
    <w:rsid w:val="00995675"/>
    <w:rsid w:val="009970FB"/>
    <w:rsid w:val="0099771C"/>
    <w:rsid w:val="009A19B2"/>
    <w:rsid w:val="009A75F4"/>
    <w:rsid w:val="009B0463"/>
    <w:rsid w:val="009B0870"/>
    <w:rsid w:val="009B155A"/>
    <w:rsid w:val="009B24DF"/>
    <w:rsid w:val="009B302C"/>
    <w:rsid w:val="009B4C51"/>
    <w:rsid w:val="009B5B52"/>
    <w:rsid w:val="009B6CD0"/>
    <w:rsid w:val="009C23BE"/>
    <w:rsid w:val="009C2D4E"/>
    <w:rsid w:val="009C4B27"/>
    <w:rsid w:val="009C5266"/>
    <w:rsid w:val="009C5E8C"/>
    <w:rsid w:val="009D1B54"/>
    <w:rsid w:val="009D3599"/>
    <w:rsid w:val="009D366C"/>
    <w:rsid w:val="009D40F6"/>
    <w:rsid w:val="009D5E45"/>
    <w:rsid w:val="009E12CF"/>
    <w:rsid w:val="009E2FF4"/>
    <w:rsid w:val="009E3FFD"/>
    <w:rsid w:val="009E5581"/>
    <w:rsid w:val="009E5B91"/>
    <w:rsid w:val="009E6056"/>
    <w:rsid w:val="009E6DF0"/>
    <w:rsid w:val="009E75C1"/>
    <w:rsid w:val="009F0227"/>
    <w:rsid w:val="009F103A"/>
    <w:rsid w:val="009F1ECC"/>
    <w:rsid w:val="009F1EDC"/>
    <w:rsid w:val="009F272E"/>
    <w:rsid w:val="009F4B3E"/>
    <w:rsid w:val="009F6B3C"/>
    <w:rsid w:val="009F7C4B"/>
    <w:rsid w:val="009F7EC3"/>
    <w:rsid w:val="00A00851"/>
    <w:rsid w:val="00A03887"/>
    <w:rsid w:val="00A223AE"/>
    <w:rsid w:val="00A22AC8"/>
    <w:rsid w:val="00A267FD"/>
    <w:rsid w:val="00A270A1"/>
    <w:rsid w:val="00A31144"/>
    <w:rsid w:val="00A37284"/>
    <w:rsid w:val="00A4023A"/>
    <w:rsid w:val="00A416A1"/>
    <w:rsid w:val="00A41ECA"/>
    <w:rsid w:val="00A41F28"/>
    <w:rsid w:val="00A46432"/>
    <w:rsid w:val="00A51B06"/>
    <w:rsid w:val="00A51B87"/>
    <w:rsid w:val="00A52F49"/>
    <w:rsid w:val="00A54E3D"/>
    <w:rsid w:val="00A56124"/>
    <w:rsid w:val="00A57925"/>
    <w:rsid w:val="00A6020E"/>
    <w:rsid w:val="00A60263"/>
    <w:rsid w:val="00A60A59"/>
    <w:rsid w:val="00A636C7"/>
    <w:rsid w:val="00A646C9"/>
    <w:rsid w:val="00A67D86"/>
    <w:rsid w:val="00A7049D"/>
    <w:rsid w:val="00A709DE"/>
    <w:rsid w:val="00A715B4"/>
    <w:rsid w:val="00A74468"/>
    <w:rsid w:val="00A7450D"/>
    <w:rsid w:val="00A755A5"/>
    <w:rsid w:val="00A803E6"/>
    <w:rsid w:val="00A853E8"/>
    <w:rsid w:val="00A87B27"/>
    <w:rsid w:val="00A87FE3"/>
    <w:rsid w:val="00A90491"/>
    <w:rsid w:val="00A93D2E"/>
    <w:rsid w:val="00A94149"/>
    <w:rsid w:val="00A9443C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B610F"/>
    <w:rsid w:val="00AC0CA9"/>
    <w:rsid w:val="00AC76AB"/>
    <w:rsid w:val="00AD343E"/>
    <w:rsid w:val="00AD3781"/>
    <w:rsid w:val="00AD65C2"/>
    <w:rsid w:val="00AE0C4E"/>
    <w:rsid w:val="00AE2990"/>
    <w:rsid w:val="00AE3196"/>
    <w:rsid w:val="00AE3272"/>
    <w:rsid w:val="00AE48F0"/>
    <w:rsid w:val="00AE7CE0"/>
    <w:rsid w:val="00AF1CE5"/>
    <w:rsid w:val="00AF2F3E"/>
    <w:rsid w:val="00AF3CF6"/>
    <w:rsid w:val="00AF4001"/>
    <w:rsid w:val="00AF56E3"/>
    <w:rsid w:val="00AF6B84"/>
    <w:rsid w:val="00AF7D6A"/>
    <w:rsid w:val="00B001C9"/>
    <w:rsid w:val="00B0244F"/>
    <w:rsid w:val="00B03505"/>
    <w:rsid w:val="00B03F42"/>
    <w:rsid w:val="00B04307"/>
    <w:rsid w:val="00B058E0"/>
    <w:rsid w:val="00B05E2E"/>
    <w:rsid w:val="00B073A6"/>
    <w:rsid w:val="00B12C84"/>
    <w:rsid w:val="00B17AC1"/>
    <w:rsid w:val="00B20DA7"/>
    <w:rsid w:val="00B22511"/>
    <w:rsid w:val="00B22885"/>
    <w:rsid w:val="00B23A03"/>
    <w:rsid w:val="00B248A1"/>
    <w:rsid w:val="00B315A7"/>
    <w:rsid w:val="00B315AF"/>
    <w:rsid w:val="00B320B9"/>
    <w:rsid w:val="00B332FF"/>
    <w:rsid w:val="00B36436"/>
    <w:rsid w:val="00B4441A"/>
    <w:rsid w:val="00B47465"/>
    <w:rsid w:val="00B4763B"/>
    <w:rsid w:val="00B479AE"/>
    <w:rsid w:val="00B521EE"/>
    <w:rsid w:val="00B540CC"/>
    <w:rsid w:val="00B54A0C"/>
    <w:rsid w:val="00B56394"/>
    <w:rsid w:val="00B577CF"/>
    <w:rsid w:val="00B625B4"/>
    <w:rsid w:val="00B63CEC"/>
    <w:rsid w:val="00B66E64"/>
    <w:rsid w:val="00B7173C"/>
    <w:rsid w:val="00B71D33"/>
    <w:rsid w:val="00B721A3"/>
    <w:rsid w:val="00B7337C"/>
    <w:rsid w:val="00B7405F"/>
    <w:rsid w:val="00B74285"/>
    <w:rsid w:val="00B75213"/>
    <w:rsid w:val="00B75647"/>
    <w:rsid w:val="00B7596F"/>
    <w:rsid w:val="00B75DA6"/>
    <w:rsid w:val="00B80899"/>
    <w:rsid w:val="00B81D6B"/>
    <w:rsid w:val="00B86506"/>
    <w:rsid w:val="00B86ACB"/>
    <w:rsid w:val="00B87DA2"/>
    <w:rsid w:val="00B87EB6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3F4B"/>
    <w:rsid w:val="00BA67B3"/>
    <w:rsid w:val="00BA7A9F"/>
    <w:rsid w:val="00BB0821"/>
    <w:rsid w:val="00BB2AB9"/>
    <w:rsid w:val="00BB6D0E"/>
    <w:rsid w:val="00BB6D37"/>
    <w:rsid w:val="00BC0B37"/>
    <w:rsid w:val="00BC1210"/>
    <w:rsid w:val="00BC2623"/>
    <w:rsid w:val="00BC2D7D"/>
    <w:rsid w:val="00BC4AB3"/>
    <w:rsid w:val="00BC76DF"/>
    <w:rsid w:val="00BD09D7"/>
    <w:rsid w:val="00BD0BB6"/>
    <w:rsid w:val="00BD2950"/>
    <w:rsid w:val="00BD6055"/>
    <w:rsid w:val="00BE0EF4"/>
    <w:rsid w:val="00BE1ABD"/>
    <w:rsid w:val="00BE1E7E"/>
    <w:rsid w:val="00BE1F69"/>
    <w:rsid w:val="00BE280F"/>
    <w:rsid w:val="00BE3F59"/>
    <w:rsid w:val="00BE4456"/>
    <w:rsid w:val="00BE5172"/>
    <w:rsid w:val="00BE6A37"/>
    <w:rsid w:val="00BE6C2A"/>
    <w:rsid w:val="00BE7867"/>
    <w:rsid w:val="00BE7AC1"/>
    <w:rsid w:val="00BF080B"/>
    <w:rsid w:val="00BF210F"/>
    <w:rsid w:val="00BF3359"/>
    <w:rsid w:val="00BF5D10"/>
    <w:rsid w:val="00BF6F50"/>
    <w:rsid w:val="00BF789C"/>
    <w:rsid w:val="00BF7B28"/>
    <w:rsid w:val="00C0117C"/>
    <w:rsid w:val="00C029DA"/>
    <w:rsid w:val="00C02AE9"/>
    <w:rsid w:val="00C02B8C"/>
    <w:rsid w:val="00C05320"/>
    <w:rsid w:val="00C068CE"/>
    <w:rsid w:val="00C1032D"/>
    <w:rsid w:val="00C11EEA"/>
    <w:rsid w:val="00C12FEF"/>
    <w:rsid w:val="00C21316"/>
    <w:rsid w:val="00C22A96"/>
    <w:rsid w:val="00C23075"/>
    <w:rsid w:val="00C259ED"/>
    <w:rsid w:val="00C25FAF"/>
    <w:rsid w:val="00C27695"/>
    <w:rsid w:val="00C2780E"/>
    <w:rsid w:val="00C30652"/>
    <w:rsid w:val="00C312BC"/>
    <w:rsid w:val="00C314F7"/>
    <w:rsid w:val="00C31B67"/>
    <w:rsid w:val="00C31FA6"/>
    <w:rsid w:val="00C32699"/>
    <w:rsid w:val="00C3641C"/>
    <w:rsid w:val="00C37D47"/>
    <w:rsid w:val="00C40E38"/>
    <w:rsid w:val="00C42D46"/>
    <w:rsid w:val="00C43E70"/>
    <w:rsid w:val="00C45C6B"/>
    <w:rsid w:val="00C467A0"/>
    <w:rsid w:val="00C47088"/>
    <w:rsid w:val="00C4774C"/>
    <w:rsid w:val="00C50E5D"/>
    <w:rsid w:val="00C54C57"/>
    <w:rsid w:val="00C573E7"/>
    <w:rsid w:val="00C60A32"/>
    <w:rsid w:val="00C6105B"/>
    <w:rsid w:val="00C612B4"/>
    <w:rsid w:val="00C61480"/>
    <w:rsid w:val="00C703CA"/>
    <w:rsid w:val="00C72A81"/>
    <w:rsid w:val="00C73051"/>
    <w:rsid w:val="00C73370"/>
    <w:rsid w:val="00C81B78"/>
    <w:rsid w:val="00C852BE"/>
    <w:rsid w:val="00C8535E"/>
    <w:rsid w:val="00C86CB8"/>
    <w:rsid w:val="00C918FF"/>
    <w:rsid w:val="00C92005"/>
    <w:rsid w:val="00C93D2F"/>
    <w:rsid w:val="00C94633"/>
    <w:rsid w:val="00C94678"/>
    <w:rsid w:val="00C9579D"/>
    <w:rsid w:val="00C97453"/>
    <w:rsid w:val="00C97D65"/>
    <w:rsid w:val="00CA2AFE"/>
    <w:rsid w:val="00CA42FD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888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0F5"/>
    <w:rsid w:val="00CE7D89"/>
    <w:rsid w:val="00CF105F"/>
    <w:rsid w:val="00CF148D"/>
    <w:rsid w:val="00CF2872"/>
    <w:rsid w:val="00CF5420"/>
    <w:rsid w:val="00CF5DC3"/>
    <w:rsid w:val="00CF635D"/>
    <w:rsid w:val="00CF6432"/>
    <w:rsid w:val="00CF778E"/>
    <w:rsid w:val="00CF7EA8"/>
    <w:rsid w:val="00D042CF"/>
    <w:rsid w:val="00D0685D"/>
    <w:rsid w:val="00D06C42"/>
    <w:rsid w:val="00D07E15"/>
    <w:rsid w:val="00D10A6F"/>
    <w:rsid w:val="00D12CC8"/>
    <w:rsid w:val="00D12EAA"/>
    <w:rsid w:val="00D13269"/>
    <w:rsid w:val="00D20821"/>
    <w:rsid w:val="00D24642"/>
    <w:rsid w:val="00D27155"/>
    <w:rsid w:val="00D27EAA"/>
    <w:rsid w:val="00D312DE"/>
    <w:rsid w:val="00D345FF"/>
    <w:rsid w:val="00D3498E"/>
    <w:rsid w:val="00D35127"/>
    <w:rsid w:val="00D36E05"/>
    <w:rsid w:val="00D428F8"/>
    <w:rsid w:val="00D44000"/>
    <w:rsid w:val="00D44DBD"/>
    <w:rsid w:val="00D52E9C"/>
    <w:rsid w:val="00D57FDF"/>
    <w:rsid w:val="00D605F9"/>
    <w:rsid w:val="00D60651"/>
    <w:rsid w:val="00D60BBD"/>
    <w:rsid w:val="00D61F65"/>
    <w:rsid w:val="00D623FE"/>
    <w:rsid w:val="00D62F36"/>
    <w:rsid w:val="00D6317C"/>
    <w:rsid w:val="00D64C59"/>
    <w:rsid w:val="00D651C3"/>
    <w:rsid w:val="00D655EE"/>
    <w:rsid w:val="00D65B39"/>
    <w:rsid w:val="00D66EB7"/>
    <w:rsid w:val="00D66F63"/>
    <w:rsid w:val="00D67820"/>
    <w:rsid w:val="00D7705E"/>
    <w:rsid w:val="00D77705"/>
    <w:rsid w:val="00D80EC2"/>
    <w:rsid w:val="00D80F14"/>
    <w:rsid w:val="00D816C8"/>
    <w:rsid w:val="00D81D2B"/>
    <w:rsid w:val="00D83B31"/>
    <w:rsid w:val="00D8750D"/>
    <w:rsid w:val="00D90B04"/>
    <w:rsid w:val="00D9195B"/>
    <w:rsid w:val="00D97599"/>
    <w:rsid w:val="00DA10B6"/>
    <w:rsid w:val="00DA4BB3"/>
    <w:rsid w:val="00DA5E25"/>
    <w:rsid w:val="00DA6C2E"/>
    <w:rsid w:val="00DA7433"/>
    <w:rsid w:val="00DA7E1B"/>
    <w:rsid w:val="00DB1303"/>
    <w:rsid w:val="00DB16EF"/>
    <w:rsid w:val="00DB25DA"/>
    <w:rsid w:val="00DC2E38"/>
    <w:rsid w:val="00DC3225"/>
    <w:rsid w:val="00DC3C38"/>
    <w:rsid w:val="00DC41E5"/>
    <w:rsid w:val="00DC6D73"/>
    <w:rsid w:val="00DD25D9"/>
    <w:rsid w:val="00DD2D35"/>
    <w:rsid w:val="00DD4FB9"/>
    <w:rsid w:val="00DD6DBA"/>
    <w:rsid w:val="00DF23DC"/>
    <w:rsid w:val="00DF2BE8"/>
    <w:rsid w:val="00DF3317"/>
    <w:rsid w:val="00DF5583"/>
    <w:rsid w:val="00E00EFD"/>
    <w:rsid w:val="00E017EC"/>
    <w:rsid w:val="00E03C52"/>
    <w:rsid w:val="00E05548"/>
    <w:rsid w:val="00E07EAA"/>
    <w:rsid w:val="00E123DB"/>
    <w:rsid w:val="00E13B3B"/>
    <w:rsid w:val="00E153CB"/>
    <w:rsid w:val="00E161BE"/>
    <w:rsid w:val="00E16B37"/>
    <w:rsid w:val="00E17DEF"/>
    <w:rsid w:val="00E2063A"/>
    <w:rsid w:val="00E20A60"/>
    <w:rsid w:val="00E22054"/>
    <w:rsid w:val="00E22159"/>
    <w:rsid w:val="00E233AE"/>
    <w:rsid w:val="00E24786"/>
    <w:rsid w:val="00E26DA1"/>
    <w:rsid w:val="00E31592"/>
    <w:rsid w:val="00E373C9"/>
    <w:rsid w:val="00E42011"/>
    <w:rsid w:val="00E44E8A"/>
    <w:rsid w:val="00E460F2"/>
    <w:rsid w:val="00E4770C"/>
    <w:rsid w:val="00E50747"/>
    <w:rsid w:val="00E5103F"/>
    <w:rsid w:val="00E52139"/>
    <w:rsid w:val="00E52B15"/>
    <w:rsid w:val="00E55742"/>
    <w:rsid w:val="00E559BB"/>
    <w:rsid w:val="00E57B9B"/>
    <w:rsid w:val="00E60047"/>
    <w:rsid w:val="00E615D1"/>
    <w:rsid w:val="00E63EE8"/>
    <w:rsid w:val="00E65520"/>
    <w:rsid w:val="00E65757"/>
    <w:rsid w:val="00E66EC5"/>
    <w:rsid w:val="00E671BC"/>
    <w:rsid w:val="00E708B5"/>
    <w:rsid w:val="00E721E2"/>
    <w:rsid w:val="00E72F0A"/>
    <w:rsid w:val="00E750A6"/>
    <w:rsid w:val="00E75255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A6400"/>
    <w:rsid w:val="00EB05AE"/>
    <w:rsid w:val="00EB14B7"/>
    <w:rsid w:val="00EB3A78"/>
    <w:rsid w:val="00EB3A8F"/>
    <w:rsid w:val="00EB52F7"/>
    <w:rsid w:val="00EC09DE"/>
    <w:rsid w:val="00EC0CCA"/>
    <w:rsid w:val="00EC3516"/>
    <w:rsid w:val="00EC3ECE"/>
    <w:rsid w:val="00EC578E"/>
    <w:rsid w:val="00EC5AB1"/>
    <w:rsid w:val="00EC6FD3"/>
    <w:rsid w:val="00EC74E8"/>
    <w:rsid w:val="00ED1144"/>
    <w:rsid w:val="00ED1C77"/>
    <w:rsid w:val="00ED2886"/>
    <w:rsid w:val="00ED2E5E"/>
    <w:rsid w:val="00ED3B00"/>
    <w:rsid w:val="00ED3D9E"/>
    <w:rsid w:val="00ED62E3"/>
    <w:rsid w:val="00ED73F3"/>
    <w:rsid w:val="00ED7494"/>
    <w:rsid w:val="00EE292E"/>
    <w:rsid w:val="00EE6B69"/>
    <w:rsid w:val="00EF0549"/>
    <w:rsid w:val="00EF1D20"/>
    <w:rsid w:val="00EF2873"/>
    <w:rsid w:val="00EF62CE"/>
    <w:rsid w:val="00EF6665"/>
    <w:rsid w:val="00EF775C"/>
    <w:rsid w:val="00F1211C"/>
    <w:rsid w:val="00F125CF"/>
    <w:rsid w:val="00F13302"/>
    <w:rsid w:val="00F155B4"/>
    <w:rsid w:val="00F16E81"/>
    <w:rsid w:val="00F23080"/>
    <w:rsid w:val="00F23E5F"/>
    <w:rsid w:val="00F2485C"/>
    <w:rsid w:val="00F24D13"/>
    <w:rsid w:val="00F2796A"/>
    <w:rsid w:val="00F27EC4"/>
    <w:rsid w:val="00F302ED"/>
    <w:rsid w:val="00F30419"/>
    <w:rsid w:val="00F30619"/>
    <w:rsid w:val="00F31C2B"/>
    <w:rsid w:val="00F343D9"/>
    <w:rsid w:val="00F34F1F"/>
    <w:rsid w:val="00F35B07"/>
    <w:rsid w:val="00F36476"/>
    <w:rsid w:val="00F36B63"/>
    <w:rsid w:val="00F36D65"/>
    <w:rsid w:val="00F412AD"/>
    <w:rsid w:val="00F436C1"/>
    <w:rsid w:val="00F44C66"/>
    <w:rsid w:val="00F46F49"/>
    <w:rsid w:val="00F47A87"/>
    <w:rsid w:val="00F50A10"/>
    <w:rsid w:val="00F51371"/>
    <w:rsid w:val="00F51440"/>
    <w:rsid w:val="00F52AC0"/>
    <w:rsid w:val="00F52FD7"/>
    <w:rsid w:val="00F54BC8"/>
    <w:rsid w:val="00F54F2D"/>
    <w:rsid w:val="00F60908"/>
    <w:rsid w:val="00F60D97"/>
    <w:rsid w:val="00F639C0"/>
    <w:rsid w:val="00F64107"/>
    <w:rsid w:val="00F659AF"/>
    <w:rsid w:val="00F65DE7"/>
    <w:rsid w:val="00F66B73"/>
    <w:rsid w:val="00F66F24"/>
    <w:rsid w:val="00F6736A"/>
    <w:rsid w:val="00F71282"/>
    <w:rsid w:val="00F720F8"/>
    <w:rsid w:val="00F729B6"/>
    <w:rsid w:val="00F73776"/>
    <w:rsid w:val="00F74241"/>
    <w:rsid w:val="00F743A3"/>
    <w:rsid w:val="00F7613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49E9"/>
    <w:rsid w:val="00FA49FB"/>
    <w:rsid w:val="00FA62BE"/>
    <w:rsid w:val="00FA6C85"/>
    <w:rsid w:val="00FB33D1"/>
    <w:rsid w:val="00FB77FC"/>
    <w:rsid w:val="00FC0AB4"/>
    <w:rsid w:val="00FC1310"/>
    <w:rsid w:val="00FC3E8A"/>
    <w:rsid w:val="00FC48DF"/>
    <w:rsid w:val="00FC48F8"/>
    <w:rsid w:val="00FC6E7E"/>
    <w:rsid w:val="00FD2FE0"/>
    <w:rsid w:val="00FD3CC6"/>
    <w:rsid w:val="00FD6D61"/>
    <w:rsid w:val="00FE088A"/>
    <w:rsid w:val="00FE0D1B"/>
    <w:rsid w:val="00FE13C8"/>
    <w:rsid w:val="00FE1FF2"/>
    <w:rsid w:val="00FE4B08"/>
    <w:rsid w:val="00FE4C3A"/>
    <w:rsid w:val="00FE517A"/>
    <w:rsid w:val="00FE755A"/>
    <w:rsid w:val="00FF0190"/>
    <w:rsid w:val="00FF038F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48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B3464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639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2342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63943"/>
    <w:rPr>
      <w:rFonts w:asciiTheme="majorHAnsi" w:eastAsiaTheme="majorEastAsia" w:hAnsiTheme="majorHAnsi" w:cstheme="majorBidi"/>
      <w:color w:val="522342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4879"/>
    <w:rPr>
      <w:rFonts w:asciiTheme="majorHAnsi" w:eastAsiaTheme="majorEastAsia" w:hAnsiTheme="majorHAnsi" w:cstheme="majorBidi"/>
      <w:color w:val="7B3464" w:themeColor="accent1" w:themeShade="BF"/>
      <w:sz w:val="32"/>
      <w:szCs w:val="32"/>
      <w:lang w:eastAsia="pl-PL"/>
    </w:rPr>
  </w:style>
  <w:style w:type="character" w:customStyle="1" w:styleId="ms-1">
    <w:name w:val="ms-1"/>
    <w:basedOn w:val="Domylnaczcionkaakapitu"/>
    <w:rsid w:val="006F61B4"/>
  </w:style>
  <w:style w:type="character" w:customStyle="1" w:styleId="max-w-full">
    <w:name w:val="max-w-full"/>
    <w:basedOn w:val="Domylnaczcionkaakapitu"/>
    <w:rsid w:val="006F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1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8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2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1790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3</cp:revision>
  <cp:lastPrinted>2025-06-09T08:32:00Z</cp:lastPrinted>
  <dcterms:created xsi:type="dcterms:W3CDTF">2025-09-18T07:26:00Z</dcterms:created>
  <dcterms:modified xsi:type="dcterms:W3CDTF">2025-09-18T07:35:00Z</dcterms:modified>
</cp:coreProperties>
</file>