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1B02F830" w14:textId="6163F7DA" w:rsidR="00692459" w:rsidRPr="002875E9" w:rsidRDefault="00AA0D6E" w:rsidP="00C4410F">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8B7661">
        <w:rPr>
          <w:rFonts w:asciiTheme="minorHAnsi" w:hAnsiTheme="minorHAnsi" w:cstheme="minorHAnsi"/>
          <w:color w:val="002060"/>
        </w:rPr>
        <w:t>16</w:t>
      </w:r>
      <w:r w:rsidR="006B1430" w:rsidRPr="002875E9">
        <w:rPr>
          <w:rFonts w:asciiTheme="minorHAnsi" w:hAnsiTheme="minorHAnsi" w:cstheme="minorHAnsi"/>
          <w:color w:val="002060"/>
        </w:rPr>
        <w:t xml:space="preserve"> </w:t>
      </w:r>
      <w:r w:rsidR="00985964">
        <w:rPr>
          <w:rFonts w:asciiTheme="minorHAnsi" w:hAnsiTheme="minorHAnsi" w:cstheme="minorHAnsi"/>
          <w:color w:val="002060"/>
        </w:rPr>
        <w:t>grudnia</w:t>
      </w:r>
      <w:r w:rsidR="001E6410" w:rsidRPr="002875E9">
        <w:rPr>
          <w:rFonts w:asciiTheme="minorHAnsi" w:hAnsiTheme="minorHAnsi" w:cstheme="minorHAnsi"/>
          <w:color w:val="002060"/>
        </w:rPr>
        <w:t xml:space="preserve"> </w:t>
      </w:r>
      <w:r w:rsidR="007508C7" w:rsidRPr="002875E9">
        <w:rPr>
          <w:rFonts w:asciiTheme="minorHAnsi" w:hAnsiTheme="minorHAnsi" w:cstheme="minorHAnsi"/>
          <w:color w:val="002060"/>
        </w:rPr>
        <w:t>202</w:t>
      </w:r>
      <w:r w:rsidR="00300D4E" w:rsidRPr="002875E9">
        <w:rPr>
          <w:rFonts w:asciiTheme="minorHAnsi" w:hAnsiTheme="minorHAnsi" w:cstheme="minorHAnsi"/>
          <w:color w:val="002060"/>
        </w:rPr>
        <w:t>5</w:t>
      </w:r>
      <w:r w:rsidR="007508C7" w:rsidRPr="002875E9">
        <w:rPr>
          <w:rFonts w:asciiTheme="minorHAnsi" w:hAnsiTheme="minorHAnsi" w:cstheme="minorHAnsi"/>
          <w:color w:val="002060"/>
        </w:rPr>
        <w:t xml:space="preserve"> </w:t>
      </w:r>
    </w:p>
    <w:p w14:paraId="6A76E6DD" w14:textId="77777777" w:rsidR="00596DC8" w:rsidRPr="002875E9" w:rsidRDefault="00596DC8" w:rsidP="00C4410F">
      <w:pPr>
        <w:pStyle w:val="NormalnyWeb"/>
        <w:shd w:val="clear" w:color="auto" w:fill="FFFFFF"/>
        <w:spacing w:before="0" w:beforeAutospacing="0" w:after="240" w:afterAutospacing="0"/>
        <w:jc w:val="right"/>
        <w:rPr>
          <w:rFonts w:asciiTheme="minorHAnsi" w:hAnsiTheme="minorHAnsi" w:cstheme="minorHAnsi"/>
          <w:color w:val="002060"/>
        </w:rPr>
      </w:pPr>
    </w:p>
    <w:p w14:paraId="0A6F1D34" w14:textId="3C1D3E2B" w:rsidR="00985964" w:rsidRPr="003279BE" w:rsidRDefault="00985964" w:rsidP="003279BE">
      <w:pPr>
        <w:spacing w:after="160" w:line="276" w:lineRule="auto"/>
        <w:jc w:val="center"/>
        <w:rPr>
          <w:rFonts w:ascii="Calibri" w:hAnsi="Calibri" w:cs="Calibri"/>
          <w:b/>
          <w:bCs/>
          <w:color w:val="002060"/>
          <w:sz w:val="28"/>
          <w:szCs w:val="28"/>
        </w:rPr>
      </w:pPr>
      <w:r w:rsidRPr="003279BE">
        <w:rPr>
          <w:rFonts w:ascii="Calibri" w:hAnsi="Calibri" w:cs="Calibri"/>
          <w:b/>
          <w:bCs/>
          <w:color w:val="002060"/>
          <w:sz w:val="28"/>
          <w:szCs w:val="28"/>
        </w:rPr>
        <w:t>Urlopy 2026 – nowe przepisy, więcej wolnego i rewolucja w planowaniu grafików</w:t>
      </w:r>
    </w:p>
    <w:p w14:paraId="5D44418E" w14:textId="31980424" w:rsidR="00477278" w:rsidRPr="00096530" w:rsidRDefault="00B24D8D" w:rsidP="00096530">
      <w:pPr>
        <w:spacing w:after="160" w:line="276" w:lineRule="auto"/>
        <w:jc w:val="both"/>
        <w:rPr>
          <w:rFonts w:ascii="Calibri" w:hAnsi="Calibri" w:cs="Calibri"/>
          <w:b/>
          <w:bCs/>
          <w:color w:val="002060"/>
        </w:rPr>
      </w:pPr>
      <w:r w:rsidRPr="003279BE">
        <w:rPr>
          <w:rFonts w:ascii="Calibri" w:hAnsi="Calibri" w:cs="Calibri"/>
          <w:b/>
          <w:bCs/>
          <w:color w:val="002060"/>
        </w:rPr>
        <w:t xml:space="preserve">W 2026 roku pracownicy w Polsce mogą liczyć łącznie nawet na ponad 40 dni wolnego – sumując urlop wypoczynkowy, dni ustawowo wolne od pracy, święta branżowe i urlopy okolicznościowe. Co więcej, zmiany przepisów sprawią, że wiele osób nabędzie prawo do dodatkowych dni wolnych. Największą korzyść odczują ci, którzy wcześniej pracowali na zleceniach, kontraktach B2B lub wykonywali pracę za granicą – nowelizacja przepisów </w:t>
      </w:r>
      <w:r w:rsidRPr="00096530">
        <w:rPr>
          <w:rFonts w:ascii="Calibri" w:hAnsi="Calibri" w:cs="Calibri"/>
          <w:b/>
          <w:bCs/>
          <w:color w:val="002060"/>
        </w:rPr>
        <w:t>pozwoli im doliczyć te okresy do stażu urlopowego.</w:t>
      </w:r>
    </w:p>
    <w:p w14:paraId="114B43A5" w14:textId="77777777" w:rsidR="00477278" w:rsidRPr="00096530" w:rsidRDefault="00477278" w:rsidP="00096530">
      <w:pPr>
        <w:spacing w:after="160" w:line="276" w:lineRule="auto"/>
        <w:jc w:val="both"/>
        <w:rPr>
          <w:rFonts w:ascii="Calibri" w:hAnsi="Calibri" w:cs="Calibri"/>
          <w:color w:val="002060"/>
        </w:rPr>
      </w:pPr>
      <w:r w:rsidRPr="00096530">
        <w:rPr>
          <w:rFonts w:ascii="Calibri" w:hAnsi="Calibri" w:cs="Calibri"/>
          <w:color w:val="002060"/>
        </w:rPr>
        <w:t xml:space="preserve">W 2026 roku pracownicy w Polsce będą mieli do dyspozycji 14 ustawowych dni wolnych od pracy. Spośród nich dwa przypadają w sobotę (15 sierpnia – Wniebowzięcie NMP i 26 grudnia – Boże Narodzenie), co oznacza możliwość odebrania wolnego w innym terminie, a cztery w niedzielę, za które nie przysługuje dodatkowy urlop (5 kwietnia – Wielkanoc, 3 maja – Święto Konstytucji, 24 maja – Zielone Świątki oraz 1 listopada – Wszystkich Świętych). </w:t>
      </w:r>
    </w:p>
    <w:p w14:paraId="4C11C187" w14:textId="78B6CA71" w:rsidR="00477278" w:rsidRPr="00096530" w:rsidRDefault="00477278" w:rsidP="00096530">
      <w:pPr>
        <w:spacing w:line="276" w:lineRule="auto"/>
        <w:jc w:val="both"/>
        <w:rPr>
          <w:rFonts w:ascii="Calibri" w:hAnsi="Calibri" w:cs="Calibri"/>
          <w:color w:val="002060"/>
        </w:rPr>
      </w:pPr>
      <w:r w:rsidRPr="00096530">
        <w:rPr>
          <w:rFonts w:ascii="Calibri" w:hAnsi="Calibri" w:cs="Calibri"/>
          <w:color w:val="002060"/>
        </w:rPr>
        <w:t>Pierwsza okazja do odpoczynku w ciągu tygodnia pojawi się już 1 stycznia (czwartek) w Nowy Rok. Kolejne święta to: 6 stycznia – Trzech Króli (wtorek), 6 kwietnia – Wielkanoc (poniedziałek), 1 maja – Święto Pracy (piątek), 4 czerwca – Boże Ciało (czwartek), 11 listopada – Święto Niepodległości (środa), 24 grudnia – Wigilia (czwartek) oraz 25 grudnia – Boże Narodzenie (piątek).</w:t>
      </w:r>
      <w:r w:rsidR="003279BE" w:rsidRPr="00096530">
        <w:rPr>
          <w:rFonts w:ascii="Calibri" w:hAnsi="Calibri" w:cs="Calibri"/>
          <w:color w:val="002060"/>
        </w:rPr>
        <w:t xml:space="preserve"> Wiele z tych dni w połączeniu z weekendami daje pracownikom szansę na wydłużony odpoczynek, a takie krótkie formy doładowania baterii cieszą się popularnością wśród Polaków.</w:t>
      </w:r>
    </w:p>
    <w:p w14:paraId="690802E9" w14:textId="77777777" w:rsidR="00AE0FE1" w:rsidRPr="00096530" w:rsidRDefault="00AE0FE1" w:rsidP="00096530">
      <w:pPr>
        <w:spacing w:line="276" w:lineRule="auto"/>
        <w:jc w:val="both"/>
        <w:rPr>
          <w:rFonts w:ascii="Calibri" w:hAnsi="Calibri" w:cs="Calibri"/>
          <w:color w:val="002060"/>
        </w:rPr>
      </w:pPr>
    </w:p>
    <w:p w14:paraId="35B0A950" w14:textId="77777777" w:rsidR="003279BE" w:rsidRPr="00096530" w:rsidRDefault="003279BE" w:rsidP="00096530">
      <w:pPr>
        <w:spacing w:line="276" w:lineRule="auto"/>
        <w:jc w:val="both"/>
        <w:rPr>
          <w:rFonts w:ascii="Calibri" w:hAnsi="Calibri" w:cs="Calibri"/>
          <w:color w:val="002060"/>
        </w:rPr>
      </w:pPr>
      <w:r w:rsidRPr="00096530">
        <w:rPr>
          <w:rFonts w:ascii="Calibri" w:hAnsi="Calibri" w:cs="Calibri"/>
          <w:b/>
          <w:bCs/>
          <w:color w:val="002060"/>
        </w:rPr>
        <w:t>Mikro-urlopy - nowy trend pracowniczy</w:t>
      </w:r>
      <w:r w:rsidRPr="00096530">
        <w:rPr>
          <w:rFonts w:ascii="Calibri" w:hAnsi="Calibri" w:cs="Calibri"/>
          <w:color w:val="002060"/>
        </w:rPr>
        <w:t xml:space="preserve"> </w:t>
      </w:r>
    </w:p>
    <w:p w14:paraId="73B9712B" w14:textId="77777777" w:rsidR="00AE0FE1" w:rsidRPr="00096530" w:rsidRDefault="00AE0FE1" w:rsidP="00096530">
      <w:pPr>
        <w:spacing w:line="276" w:lineRule="auto"/>
        <w:jc w:val="both"/>
        <w:rPr>
          <w:rFonts w:ascii="Calibri" w:hAnsi="Calibri" w:cs="Calibri"/>
          <w:color w:val="002060"/>
        </w:rPr>
      </w:pPr>
    </w:p>
    <w:p w14:paraId="4EF204D8" w14:textId="6044577B" w:rsidR="003279BE" w:rsidRPr="00096530" w:rsidRDefault="003279BE" w:rsidP="00096530">
      <w:pPr>
        <w:spacing w:line="276" w:lineRule="auto"/>
        <w:jc w:val="both"/>
        <w:rPr>
          <w:rFonts w:ascii="Calibri" w:hAnsi="Calibri" w:cs="Calibri"/>
          <w:color w:val="002060"/>
        </w:rPr>
      </w:pPr>
      <w:r w:rsidRPr="00096530">
        <w:rPr>
          <w:rFonts w:ascii="Calibri" w:hAnsi="Calibri" w:cs="Calibri"/>
          <w:color w:val="002060"/>
        </w:rPr>
        <w:t xml:space="preserve">Z analiz Grupy Progres wynika, że coraz więcej osób decyduje się na krótkie urlopy trwające od 1 do 3 dni, szczególnie w miesiącach połączonych z długimi weekendami. W marcu, maju i grudniu to aż 94% nieobecności. Są one efektem świąt i naturalnej chęci pracowników do przedłużenia wolnego bez konieczności wykorzystywania dużej liczby dni urlopowych. Mikro-urlopy stają się też sposobem na szybkie odreagowanie stresu i regenerację, a ich popularność rośnie zwłaszcza wśród osób łączących pracę z nauką lub opieką nad rodziną. </w:t>
      </w:r>
    </w:p>
    <w:p w14:paraId="68158BBF" w14:textId="77777777" w:rsidR="00AE0FE1" w:rsidRPr="00096530" w:rsidRDefault="00AE0FE1" w:rsidP="00096530">
      <w:pPr>
        <w:spacing w:line="276" w:lineRule="auto"/>
        <w:jc w:val="both"/>
        <w:rPr>
          <w:rFonts w:ascii="Calibri" w:hAnsi="Calibri" w:cs="Calibri"/>
          <w:color w:val="002060"/>
        </w:rPr>
      </w:pPr>
    </w:p>
    <w:p w14:paraId="429DBC09" w14:textId="18A43543" w:rsidR="00477278" w:rsidRPr="00096530" w:rsidRDefault="00477278" w:rsidP="00096530">
      <w:pPr>
        <w:spacing w:line="276" w:lineRule="auto"/>
        <w:jc w:val="both"/>
        <w:rPr>
          <w:rStyle w:val="Pogrubienie"/>
          <w:rFonts w:ascii="Calibri" w:hAnsi="Calibri" w:cs="Calibri"/>
          <w:color w:val="002060"/>
        </w:rPr>
      </w:pPr>
      <w:r w:rsidRPr="00096530">
        <w:rPr>
          <w:rStyle w:val="Pogrubienie"/>
          <w:rFonts w:ascii="Calibri" w:hAnsi="Calibri" w:cs="Calibri"/>
          <w:color w:val="002060"/>
        </w:rPr>
        <w:t>Więcej wolnego od 1 stycznia dzięki zmianom w prawie</w:t>
      </w:r>
    </w:p>
    <w:p w14:paraId="70B0F36C" w14:textId="77777777" w:rsidR="00477278" w:rsidRPr="00096530" w:rsidRDefault="00477278" w:rsidP="00096530">
      <w:pPr>
        <w:spacing w:line="276" w:lineRule="auto"/>
        <w:jc w:val="both"/>
        <w:rPr>
          <w:rFonts w:ascii="Calibri" w:hAnsi="Calibri" w:cs="Calibri"/>
          <w:b/>
          <w:bCs/>
          <w:color w:val="002060"/>
        </w:rPr>
      </w:pPr>
    </w:p>
    <w:p w14:paraId="46113465" w14:textId="715550CA" w:rsidR="00985964" w:rsidRPr="00096530" w:rsidRDefault="00985964" w:rsidP="00096530">
      <w:pPr>
        <w:spacing w:after="160" w:line="276" w:lineRule="auto"/>
        <w:jc w:val="both"/>
        <w:rPr>
          <w:rFonts w:ascii="Calibri" w:hAnsi="Calibri" w:cs="Calibri"/>
          <w:b/>
          <w:bCs/>
          <w:color w:val="002060"/>
        </w:rPr>
      </w:pPr>
      <w:r w:rsidRPr="00096530">
        <w:rPr>
          <w:rFonts w:ascii="Calibri" w:hAnsi="Calibri" w:cs="Calibri"/>
          <w:color w:val="002060"/>
        </w:rPr>
        <w:t xml:space="preserve">Nowelizacja przepisów dotyczących urlopu wypoczynkowego zmienia sposób obliczania stażu uprawniającego do 20 lub 26 dni wolnych. Od nowego roku do stażu urlopowego będą </w:t>
      </w:r>
      <w:r w:rsidRPr="00096530">
        <w:rPr>
          <w:rFonts w:ascii="Calibri" w:hAnsi="Calibri" w:cs="Calibri"/>
          <w:color w:val="002060"/>
        </w:rPr>
        <w:lastRenderedPageBreak/>
        <w:t>wliczane również</w:t>
      </w:r>
      <w:r w:rsidR="00796AE9" w:rsidRPr="00096530">
        <w:rPr>
          <w:rFonts w:ascii="Calibri" w:hAnsi="Calibri" w:cs="Calibri"/>
          <w:color w:val="002060"/>
        </w:rPr>
        <w:t xml:space="preserve"> </w:t>
      </w:r>
      <w:r w:rsidRPr="00096530">
        <w:rPr>
          <w:rFonts w:ascii="Calibri" w:hAnsi="Calibri" w:cs="Calibri"/>
          <w:color w:val="002060"/>
        </w:rPr>
        <w:t>okresy</w:t>
      </w:r>
      <w:r w:rsidR="00796AE9" w:rsidRPr="00096530">
        <w:rPr>
          <w:rFonts w:ascii="Calibri" w:hAnsi="Calibri" w:cs="Calibri"/>
          <w:color w:val="002060"/>
        </w:rPr>
        <w:t>:</w:t>
      </w:r>
      <w:r w:rsidRPr="00096530">
        <w:rPr>
          <w:rFonts w:ascii="Calibri" w:hAnsi="Calibri" w:cs="Calibri"/>
          <w:color w:val="002060"/>
        </w:rPr>
        <w:t xml:space="preserve"> pracy na umowach-zlecenie i podobnych,</w:t>
      </w:r>
      <w:r w:rsidR="00796AE9" w:rsidRPr="00096530">
        <w:rPr>
          <w:rFonts w:ascii="Calibri" w:hAnsi="Calibri" w:cs="Calibri"/>
          <w:color w:val="002060"/>
        </w:rPr>
        <w:t xml:space="preserve"> </w:t>
      </w:r>
      <w:r w:rsidRPr="00096530">
        <w:rPr>
          <w:rFonts w:ascii="Calibri" w:hAnsi="Calibri" w:cs="Calibri"/>
          <w:color w:val="002060"/>
        </w:rPr>
        <w:t>prowadzeni</w:t>
      </w:r>
      <w:r w:rsidR="00796AE9" w:rsidRPr="00096530">
        <w:rPr>
          <w:rFonts w:ascii="Calibri" w:hAnsi="Calibri" w:cs="Calibri"/>
          <w:color w:val="002060"/>
        </w:rPr>
        <w:t>a</w:t>
      </w:r>
      <w:r w:rsidRPr="00096530">
        <w:rPr>
          <w:rFonts w:ascii="Calibri" w:hAnsi="Calibri" w:cs="Calibri"/>
          <w:color w:val="002060"/>
        </w:rPr>
        <w:t xml:space="preserve"> jednoosobowej działalności gospodarczej</w:t>
      </w:r>
      <w:r w:rsidR="00796AE9" w:rsidRPr="00096530">
        <w:rPr>
          <w:rFonts w:ascii="Calibri" w:hAnsi="Calibri" w:cs="Calibri"/>
          <w:color w:val="002060"/>
        </w:rPr>
        <w:t xml:space="preserve"> i </w:t>
      </w:r>
      <w:r w:rsidRPr="00096530">
        <w:rPr>
          <w:rFonts w:ascii="Calibri" w:hAnsi="Calibri" w:cs="Calibri"/>
          <w:color w:val="002060"/>
        </w:rPr>
        <w:t>prac</w:t>
      </w:r>
      <w:r w:rsidR="00796AE9" w:rsidRPr="00096530">
        <w:rPr>
          <w:rFonts w:ascii="Calibri" w:hAnsi="Calibri" w:cs="Calibri"/>
          <w:color w:val="002060"/>
        </w:rPr>
        <w:t>y</w:t>
      </w:r>
      <w:r w:rsidRPr="00096530">
        <w:rPr>
          <w:rFonts w:ascii="Calibri" w:hAnsi="Calibri" w:cs="Calibri"/>
          <w:color w:val="002060"/>
        </w:rPr>
        <w:t xml:space="preserve"> za granicą.</w:t>
      </w:r>
      <w:r w:rsidR="003279BE" w:rsidRPr="00096530">
        <w:rPr>
          <w:rFonts w:ascii="Calibri" w:hAnsi="Calibri" w:cs="Calibri"/>
          <w:color w:val="002060"/>
        </w:rPr>
        <w:t xml:space="preserve"> Dzięki temu wielu pracowników, którzy dotychczas nie byli zatrudnieni na etacie i nie mieli w ogóle prawa do urlopu, nabędzie je po raz pierwszy, a inni zyskają możliwość szybszego osiągnięcia dłuższego wymiaru wolnego.</w:t>
      </w:r>
      <w:r w:rsidR="003279BE" w:rsidRPr="00096530">
        <w:rPr>
          <w:rFonts w:ascii="Calibri" w:hAnsi="Calibri" w:cs="Calibri"/>
          <w:b/>
          <w:bCs/>
          <w:color w:val="002060"/>
        </w:rPr>
        <w:t xml:space="preserve"> </w:t>
      </w:r>
      <w:r w:rsidRPr="00096530">
        <w:rPr>
          <w:rFonts w:ascii="Calibri" w:hAnsi="Calibri" w:cs="Calibri"/>
          <w:color w:val="002060"/>
        </w:rPr>
        <w:t>Według danych GUS z marca 2025 r. ponad 1,39 mln osób pracowało wyłącznie na podstawie umów cywilnoprawnych, a w I kwartale 2025 r. działało w Polsce 2,8 mln aktywnych przedsiębiorstw – to właśnie te grupy w największym stopniu odczują nowy sposób naliczania urlopów.</w:t>
      </w:r>
    </w:p>
    <w:p w14:paraId="67BB9286" w14:textId="0B224982" w:rsidR="00292B71" w:rsidRPr="00096530" w:rsidRDefault="00985964" w:rsidP="00096530">
      <w:pPr>
        <w:spacing w:after="160" w:line="276" w:lineRule="auto"/>
        <w:jc w:val="both"/>
        <w:rPr>
          <w:rFonts w:ascii="Calibri" w:hAnsi="Calibri" w:cs="Calibri"/>
          <w:color w:val="002060"/>
        </w:rPr>
      </w:pPr>
      <w:r w:rsidRPr="00096530">
        <w:rPr>
          <w:rFonts w:ascii="Calibri" w:hAnsi="Calibri" w:cs="Calibri"/>
          <w:color w:val="002060"/>
        </w:rPr>
        <w:t xml:space="preserve">– </w:t>
      </w:r>
      <w:r w:rsidRPr="00096530">
        <w:rPr>
          <w:rFonts w:ascii="Calibri" w:hAnsi="Calibri" w:cs="Calibri"/>
          <w:i/>
          <w:iCs/>
          <w:color w:val="002060"/>
        </w:rPr>
        <w:t>Zmiany związane ze stażem urlopowym mogą znacząco wpływać na politykę kadrową firm. Wielu pracodawców będzie musiało przygotować się nie tylko organizacyjnie, ale również technologicznie, aktualizując systemy HR i dostosowując procedury do nowego sposobu rozliczania urlopów</w:t>
      </w:r>
      <w:r w:rsidRPr="00096530">
        <w:rPr>
          <w:rFonts w:ascii="Calibri" w:hAnsi="Calibri" w:cs="Calibri"/>
          <w:color w:val="002060"/>
        </w:rPr>
        <w:t xml:space="preserve"> – </w:t>
      </w:r>
      <w:r w:rsidRPr="00096530">
        <w:rPr>
          <w:rFonts w:ascii="Calibri" w:hAnsi="Calibri" w:cs="Calibri"/>
          <w:b/>
          <w:bCs/>
          <w:color w:val="002060"/>
        </w:rPr>
        <w:t>mówi Anna Pietraszko, Dyrektor Projektów Consultingowych, HR i Szkoleniowych w Grupie Progres</w:t>
      </w:r>
      <w:r w:rsidRPr="00096530">
        <w:rPr>
          <w:rFonts w:ascii="Calibri" w:hAnsi="Calibri" w:cs="Calibri"/>
          <w:color w:val="002060"/>
        </w:rPr>
        <w:t>.</w:t>
      </w:r>
      <w:r w:rsidR="003279BE" w:rsidRPr="00096530">
        <w:rPr>
          <w:rFonts w:ascii="Calibri" w:hAnsi="Calibri" w:cs="Calibri"/>
          <w:color w:val="002060"/>
        </w:rPr>
        <w:t xml:space="preserve"> – </w:t>
      </w:r>
      <w:r w:rsidR="003279BE" w:rsidRPr="00096530">
        <w:rPr>
          <w:rFonts w:ascii="Calibri" w:hAnsi="Calibri" w:cs="Calibri"/>
          <w:i/>
          <w:iCs/>
          <w:color w:val="002060"/>
        </w:rPr>
        <w:t>Oznacza to również konieczność dokładnego monitorowania historii zatrudnienia pracowników oraz weryfikacji dotychczasowych okresów pracy nieetatowej. Dzięki temu firmy będą mogły prawidłowo naliczać przysługujące</w:t>
      </w:r>
      <w:r w:rsidR="00AE0FE1" w:rsidRPr="00096530">
        <w:rPr>
          <w:rFonts w:ascii="Calibri" w:hAnsi="Calibri" w:cs="Calibri"/>
          <w:i/>
          <w:iCs/>
          <w:color w:val="002060"/>
        </w:rPr>
        <w:t xml:space="preserve"> dni wolne</w:t>
      </w:r>
      <w:r w:rsidR="003279BE" w:rsidRPr="00096530">
        <w:rPr>
          <w:rFonts w:ascii="Calibri" w:hAnsi="Calibri" w:cs="Calibri"/>
          <w:i/>
          <w:iCs/>
          <w:color w:val="002060"/>
        </w:rPr>
        <w:t xml:space="preserve"> i uniknąć nieporozumień z pracownikami – </w:t>
      </w:r>
      <w:r w:rsidR="003279BE" w:rsidRPr="00096530">
        <w:rPr>
          <w:rFonts w:ascii="Calibri" w:hAnsi="Calibri" w:cs="Calibri"/>
          <w:b/>
          <w:bCs/>
          <w:color w:val="002060"/>
        </w:rPr>
        <w:t>dodaje Anna Pietraszko.</w:t>
      </w:r>
    </w:p>
    <w:p w14:paraId="0D4EF132" w14:textId="46FCCCD2" w:rsidR="00292B71" w:rsidRPr="00096530" w:rsidRDefault="00292B71" w:rsidP="00096530">
      <w:pPr>
        <w:spacing w:after="160" w:line="276" w:lineRule="auto"/>
        <w:jc w:val="both"/>
        <w:rPr>
          <w:rFonts w:ascii="Calibri" w:hAnsi="Calibri" w:cs="Calibri"/>
          <w:color w:val="002060"/>
        </w:rPr>
      </w:pPr>
      <w:r w:rsidRPr="00096530">
        <w:rPr>
          <w:rFonts w:ascii="Calibri" w:hAnsi="Calibri" w:cs="Calibri"/>
          <w:b/>
          <w:bCs/>
          <w:color w:val="002060"/>
        </w:rPr>
        <w:t>Urlopy</w:t>
      </w:r>
      <w:r w:rsidRPr="00096530">
        <w:rPr>
          <w:rFonts w:ascii="Calibri" w:hAnsi="Calibri" w:cs="Calibri"/>
          <w:color w:val="002060"/>
        </w:rPr>
        <w:t xml:space="preserve"> </w:t>
      </w:r>
      <w:r w:rsidRPr="00096530">
        <w:rPr>
          <w:rFonts w:ascii="Calibri" w:hAnsi="Calibri" w:cs="Calibri"/>
          <w:b/>
          <w:bCs/>
          <w:color w:val="002060"/>
        </w:rPr>
        <w:t xml:space="preserve">branżowe i </w:t>
      </w:r>
      <w:r w:rsidR="00AE0FE1" w:rsidRPr="00096530">
        <w:rPr>
          <w:rFonts w:ascii="Calibri" w:hAnsi="Calibri" w:cs="Calibri"/>
          <w:b/>
          <w:bCs/>
          <w:color w:val="002060"/>
        </w:rPr>
        <w:t>niestandardowe dni wolne w nowoczesnych firmach</w:t>
      </w:r>
    </w:p>
    <w:p w14:paraId="523F4D7E" w14:textId="57B3A319" w:rsidR="00985964" w:rsidRPr="00096530" w:rsidRDefault="00985964" w:rsidP="00096530">
      <w:pPr>
        <w:spacing w:after="160" w:line="276" w:lineRule="auto"/>
        <w:jc w:val="both"/>
        <w:rPr>
          <w:rFonts w:ascii="Calibri" w:hAnsi="Calibri" w:cs="Calibri"/>
          <w:color w:val="002060"/>
        </w:rPr>
      </w:pPr>
      <w:r w:rsidRPr="00096530">
        <w:rPr>
          <w:rFonts w:ascii="Calibri" w:hAnsi="Calibri" w:cs="Calibri"/>
          <w:color w:val="002060"/>
        </w:rPr>
        <w:t xml:space="preserve">Choć nie są ustawowo wolne, w wielu sektorach tradycyjnie obchodzi się </w:t>
      </w:r>
      <w:r w:rsidR="00AE0FE1" w:rsidRPr="00096530">
        <w:rPr>
          <w:rFonts w:ascii="Calibri" w:hAnsi="Calibri" w:cs="Calibri"/>
          <w:color w:val="002060"/>
        </w:rPr>
        <w:t xml:space="preserve">też </w:t>
      </w:r>
      <w:r w:rsidRPr="00096530">
        <w:rPr>
          <w:rFonts w:ascii="Calibri" w:hAnsi="Calibri" w:cs="Calibri"/>
          <w:color w:val="002060"/>
        </w:rPr>
        <w:t>święta zawodowe, którym towarzyszą dodatkowe dni wolne lub uroczystości. Najbardziej znane z nich to m.in.: Barbórka (4 grudnia) w górnictwie, Dzień Strażaka i Dzień Hutnika (4 maja), Dzień Kolejarza (25 listopada), Dzień Energetyka (14 sierpnia), czy Dzień Edukacji Narodowej (14 października).</w:t>
      </w:r>
    </w:p>
    <w:p w14:paraId="618CAC72" w14:textId="58D0F426" w:rsidR="00985964" w:rsidRPr="00096530" w:rsidRDefault="00985964" w:rsidP="00096530">
      <w:pPr>
        <w:spacing w:after="160" w:line="276" w:lineRule="auto"/>
        <w:jc w:val="both"/>
        <w:rPr>
          <w:rFonts w:ascii="Calibri" w:hAnsi="Calibri" w:cs="Calibri"/>
          <w:color w:val="002060"/>
        </w:rPr>
      </w:pPr>
      <w:r w:rsidRPr="00096530">
        <w:rPr>
          <w:rFonts w:ascii="Calibri" w:hAnsi="Calibri" w:cs="Calibri"/>
          <w:color w:val="002060"/>
        </w:rPr>
        <w:t xml:space="preserve">W kalendarzu znajdują się również liczne święta profesji, które są celebrowane </w:t>
      </w:r>
      <w:r w:rsidR="00AE0FE1" w:rsidRPr="00096530">
        <w:rPr>
          <w:rFonts w:ascii="Calibri" w:hAnsi="Calibri" w:cs="Calibri"/>
          <w:color w:val="002060"/>
        </w:rPr>
        <w:t xml:space="preserve">w wielu rosnącej liczbie firm </w:t>
      </w:r>
      <w:r w:rsidRPr="00096530">
        <w:rPr>
          <w:rFonts w:ascii="Calibri" w:hAnsi="Calibri" w:cs="Calibri"/>
          <w:color w:val="002060"/>
        </w:rPr>
        <w:t xml:space="preserve">— np. Dzień Pracownika Służby Zdrowia (7 kwietnia), Dzień Pracownika Gospodarki Komunalnej (10 maja), Dzień Leśnika (5 czerwca) czy Dzień Lotnika (28 sierpnia). </w:t>
      </w:r>
    </w:p>
    <w:p w14:paraId="36BA3AF6" w14:textId="6333472B" w:rsidR="00796AE9" w:rsidRPr="00096530" w:rsidRDefault="00796AE9" w:rsidP="00096530">
      <w:pPr>
        <w:spacing w:after="160" w:line="276" w:lineRule="auto"/>
        <w:jc w:val="both"/>
        <w:rPr>
          <w:rFonts w:ascii="Calibri" w:hAnsi="Calibri" w:cs="Calibri"/>
          <w:color w:val="002060"/>
        </w:rPr>
      </w:pPr>
      <w:r w:rsidRPr="00096530">
        <w:rPr>
          <w:rFonts w:ascii="Calibri" w:hAnsi="Calibri" w:cs="Calibri"/>
          <w:color w:val="002060"/>
        </w:rPr>
        <w:t xml:space="preserve">W ostatnich latach rośnie również znaczenie niestandardowych form odpoczynku. Firmy coraz chętniej przyznają dni wolne na adaptację nowego zwierzaka, wdrażają dni zdrowia psychicznego, oferują urlopy regeneracyjne po zakończeniu kluczowych projektów, wprowadzają urlopy menstruacyjne, wspierają wolontariat pracowniczy i pozwalają na wzięcie wolnego w sytuacjach życiowych wymagających wsparcia, takich jak trudne rozstanie. </w:t>
      </w:r>
    </w:p>
    <w:p w14:paraId="2174BBDF" w14:textId="562E15E3" w:rsidR="00796AE9" w:rsidRPr="00096530" w:rsidRDefault="00796AE9" w:rsidP="00096530">
      <w:pPr>
        <w:spacing w:after="160" w:line="276" w:lineRule="auto"/>
        <w:jc w:val="both"/>
        <w:rPr>
          <w:rFonts w:ascii="Calibri" w:hAnsi="Calibri" w:cs="Calibri"/>
          <w:b/>
          <w:bCs/>
          <w:color w:val="002060"/>
        </w:rPr>
      </w:pPr>
      <w:r w:rsidRPr="00096530">
        <w:rPr>
          <w:rFonts w:ascii="Calibri" w:hAnsi="Calibri" w:cs="Calibri"/>
          <w:color w:val="002060"/>
        </w:rPr>
        <w:t xml:space="preserve">– </w:t>
      </w:r>
      <w:r w:rsidRPr="00096530">
        <w:rPr>
          <w:rFonts w:ascii="Calibri" w:hAnsi="Calibri" w:cs="Calibri"/>
          <w:i/>
          <w:iCs/>
          <w:color w:val="002060"/>
        </w:rPr>
        <w:t xml:space="preserve">Ten kierunek zmian pokazuje, że </w:t>
      </w:r>
      <w:r w:rsidR="00AE0FE1" w:rsidRPr="00096530">
        <w:rPr>
          <w:rFonts w:ascii="Calibri" w:hAnsi="Calibri" w:cs="Calibri"/>
          <w:i/>
          <w:iCs/>
          <w:color w:val="002060"/>
        </w:rPr>
        <w:t>pracodawcy</w:t>
      </w:r>
      <w:r w:rsidRPr="00096530">
        <w:rPr>
          <w:rFonts w:ascii="Calibri" w:hAnsi="Calibri" w:cs="Calibri"/>
          <w:i/>
          <w:iCs/>
          <w:color w:val="002060"/>
        </w:rPr>
        <w:t xml:space="preserve"> zaczynają postrzegać odpoczynek szerzej niż tylko w wymiarze ustawowym. Coraz częściej </w:t>
      </w:r>
      <w:r w:rsidR="006935C2">
        <w:rPr>
          <w:rFonts w:ascii="Calibri" w:hAnsi="Calibri" w:cs="Calibri"/>
          <w:i/>
          <w:iCs/>
          <w:color w:val="002060"/>
        </w:rPr>
        <w:t xml:space="preserve">wykorzystują </w:t>
      </w:r>
      <w:r w:rsidRPr="00096530">
        <w:rPr>
          <w:rFonts w:ascii="Calibri" w:hAnsi="Calibri" w:cs="Calibri"/>
          <w:i/>
          <w:iCs/>
          <w:color w:val="002060"/>
        </w:rPr>
        <w:t xml:space="preserve">to narzędzie </w:t>
      </w:r>
      <w:r w:rsidR="006935C2">
        <w:rPr>
          <w:rFonts w:ascii="Calibri" w:hAnsi="Calibri" w:cs="Calibri"/>
          <w:i/>
          <w:iCs/>
          <w:color w:val="002060"/>
        </w:rPr>
        <w:t xml:space="preserve">do </w:t>
      </w:r>
      <w:r w:rsidRPr="00096530">
        <w:rPr>
          <w:rFonts w:ascii="Calibri" w:hAnsi="Calibri" w:cs="Calibri"/>
          <w:i/>
          <w:iCs/>
          <w:color w:val="002060"/>
        </w:rPr>
        <w:t>budowania zaangażowania i lojalności</w:t>
      </w:r>
      <w:r w:rsidR="006935C2">
        <w:rPr>
          <w:rFonts w:ascii="Calibri" w:hAnsi="Calibri" w:cs="Calibri"/>
          <w:i/>
          <w:iCs/>
          <w:color w:val="002060"/>
        </w:rPr>
        <w:t xml:space="preserve"> pracowników. Jest to realna odpowiedź pracodawców, podążających za trendami i </w:t>
      </w:r>
      <w:r w:rsidRPr="00096530">
        <w:rPr>
          <w:rFonts w:ascii="Calibri" w:hAnsi="Calibri" w:cs="Calibri"/>
          <w:i/>
          <w:iCs/>
          <w:color w:val="002060"/>
        </w:rPr>
        <w:t>zróżnicowan</w:t>
      </w:r>
      <w:r w:rsidR="006935C2">
        <w:rPr>
          <w:rFonts w:ascii="Calibri" w:hAnsi="Calibri" w:cs="Calibri"/>
          <w:i/>
          <w:iCs/>
          <w:color w:val="002060"/>
        </w:rPr>
        <w:t xml:space="preserve">ymi </w:t>
      </w:r>
      <w:r w:rsidRPr="00096530">
        <w:rPr>
          <w:rFonts w:ascii="Calibri" w:hAnsi="Calibri" w:cs="Calibri"/>
          <w:i/>
          <w:iCs/>
          <w:color w:val="002060"/>
        </w:rPr>
        <w:t>potrzeb</w:t>
      </w:r>
      <w:r w:rsidR="006935C2">
        <w:rPr>
          <w:rFonts w:ascii="Calibri" w:hAnsi="Calibri" w:cs="Calibri"/>
          <w:i/>
          <w:iCs/>
          <w:color w:val="002060"/>
        </w:rPr>
        <w:t>ami</w:t>
      </w:r>
      <w:r w:rsidRPr="00096530">
        <w:rPr>
          <w:rFonts w:ascii="Calibri" w:hAnsi="Calibri" w:cs="Calibri"/>
          <w:i/>
          <w:iCs/>
          <w:color w:val="002060"/>
        </w:rPr>
        <w:t xml:space="preserve"> pracownikó</w:t>
      </w:r>
      <w:r w:rsidR="00292B71" w:rsidRPr="00096530">
        <w:rPr>
          <w:rFonts w:ascii="Calibri" w:hAnsi="Calibri" w:cs="Calibri"/>
          <w:i/>
          <w:iCs/>
          <w:color w:val="002060"/>
        </w:rPr>
        <w:t>w</w:t>
      </w:r>
      <w:r w:rsidRPr="00096530">
        <w:rPr>
          <w:rFonts w:ascii="Calibri" w:hAnsi="Calibri" w:cs="Calibri"/>
          <w:color w:val="002060"/>
        </w:rPr>
        <w:t xml:space="preserve"> – </w:t>
      </w:r>
      <w:r w:rsidRPr="00096530">
        <w:rPr>
          <w:rFonts w:ascii="Calibri" w:hAnsi="Calibri" w:cs="Calibri"/>
          <w:b/>
          <w:bCs/>
          <w:color w:val="002060"/>
        </w:rPr>
        <w:t>podkreśla</w:t>
      </w:r>
      <w:r w:rsidRPr="00096530">
        <w:rPr>
          <w:rFonts w:ascii="Calibri" w:hAnsi="Calibri" w:cs="Calibri"/>
          <w:color w:val="002060"/>
        </w:rPr>
        <w:t xml:space="preserve"> </w:t>
      </w:r>
      <w:r w:rsidRPr="00096530">
        <w:rPr>
          <w:rFonts w:ascii="Calibri" w:hAnsi="Calibri" w:cs="Calibri"/>
          <w:b/>
          <w:bCs/>
          <w:color w:val="002060"/>
        </w:rPr>
        <w:t>Anna Pietraszko</w:t>
      </w:r>
      <w:r w:rsidR="00292B71" w:rsidRPr="00096530">
        <w:rPr>
          <w:rFonts w:ascii="Calibri" w:hAnsi="Calibri" w:cs="Calibri"/>
          <w:b/>
          <w:bCs/>
          <w:color w:val="002060"/>
        </w:rPr>
        <w:t>.</w:t>
      </w:r>
    </w:p>
    <w:p w14:paraId="0C97B9CC" w14:textId="77777777" w:rsidR="008B7661" w:rsidRDefault="008B7661" w:rsidP="00096530">
      <w:pPr>
        <w:spacing w:after="160" w:line="276" w:lineRule="auto"/>
        <w:jc w:val="both"/>
        <w:rPr>
          <w:rFonts w:ascii="Calibri" w:hAnsi="Calibri" w:cs="Calibri"/>
          <w:b/>
          <w:bCs/>
          <w:color w:val="002060"/>
        </w:rPr>
      </w:pPr>
    </w:p>
    <w:p w14:paraId="544478DC" w14:textId="77777777" w:rsidR="008B7661" w:rsidRDefault="008B7661" w:rsidP="00096530">
      <w:pPr>
        <w:spacing w:after="160" w:line="276" w:lineRule="auto"/>
        <w:jc w:val="both"/>
        <w:rPr>
          <w:rFonts w:ascii="Calibri" w:hAnsi="Calibri" w:cs="Calibri"/>
          <w:b/>
          <w:bCs/>
          <w:color w:val="002060"/>
        </w:rPr>
      </w:pPr>
    </w:p>
    <w:p w14:paraId="426ED6DD" w14:textId="33BF7DA9" w:rsidR="00096530" w:rsidRPr="00096530" w:rsidRDefault="00096530" w:rsidP="00096530">
      <w:pPr>
        <w:spacing w:after="160" w:line="276" w:lineRule="auto"/>
        <w:jc w:val="both"/>
        <w:rPr>
          <w:rFonts w:ascii="Calibri" w:hAnsi="Calibri" w:cs="Calibri"/>
          <w:b/>
          <w:bCs/>
          <w:color w:val="002060"/>
        </w:rPr>
      </w:pPr>
      <w:r w:rsidRPr="00096530">
        <w:rPr>
          <w:rFonts w:ascii="Calibri" w:hAnsi="Calibri" w:cs="Calibri"/>
          <w:b/>
          <w:bCs/>
          <w:color w:val="002060"/>
        </w:rPr>
        <w:lastRenderedPageBreak/>
        <w:t>Projektowane uprawnienia PIP – co może zmienić się w 2026 roku?</w:t>
      </w:r>
    </w:p>
    <w:p w14:paraId="29A59F30" w14:textId="08A9A793" w:rsidR="00096530" w:rsidRPr="00096530" w:rsidRDefault="00096530" w:rsidP="00096530">
      <w:pPr>
        <w:spacing w:after="160" w:line="276" w:lineRule="auto"/>
        <w:jc w:val="both"/>
        <w:rPr>
          <w:rFonts w:ascii="Calibri" w:hAnsi="Calibri" w:cs="Calibri"/>
          <w:color w:val="002060"/>
        </w:rPr>
      </w:pPr>
      <w:r w:rsidRPr="00096530">
        <w:rPr>
          <w:rFonts w:ascii="Calibri" w:hAnsi="Calibri" w:cs="Calibri"/>
          <w:color w:val="002060"/>
        </w:rPr>
        <w:t>Wśród planowanych nowelizacji prawnych na 2026 rok największe emocje budzą propozycje rozszerzenia kompetencji Państwowej Inspekcji Pracy. Zgodnie z projektem, inspektorzy mogliby – w określonych sytuacjach – samodzielnie przekształcać umowy cywilnoprawne w etatowe, jeśli charakter wykonywanej pracy spełnia kryteria stosunku pracy, takie jak podporządkowanie, stałe miejsce i czas pracy czy wykonywanie obowiązków pod nadzorem pracodawcy. Obecnie PIP może jedynie kierować sprawy do sądu, nie mając prawa do wydania decyzji administracyjnej w tym zakresie.</w:t>
      </w:r>
    </w:p>
    <w:p w14:paraId="5E22CB1C" w14:textId="605347F6" w:rsidR="00096530" w:rsidRPr="00096530" w:rsidRDefault="00096530" w:rsidP="00096530">
      <w:pPr>
        <w:spacing w:after="160" w:line="276" w:lineRule="auto"/>
        <w:jc w:val="both"/>
        <w:rPr>
          <w:rFonts w:ascii="Calibri" w:hAnsi="Calibri" w:cs="Calibri"/>
          <w:color w:val="002060"/>
        </w:rPr>
      </w:pPr>
      <w:r w:rsidRPr="00096530">
        <w:rPr>
          <w:rFonts w:ascii="Calibri" w:hAnsi="Calibri" w:cs="Calibri"/>
          <w:color w:val="002060"/>
        </w:rPr>
        <w:t>Wprowadzenie takich regulacji pozwoliłoby na natychmiastowe egzekwowanie prawa pracy. Ich wprowadzenie może wpłynąć na cały rynek pracy. Firmy korzystające z elastycznych form zatrudnienia będą musiały dokładnie dokumentować, dlaczego dana współpraca nie spełnia przesłanek stosunku pracy, co wymusi lepsze dopasowanie modeli zatrudnienia do faktycznie wykonywanych obowiązków. Dla części pracowników może to oznaczać ograniczenie elastyczności związanej z formułą B2B lub umowami cywilnoprawnymi, ale jednocześnie zapewni większą pewność zatrudnienia i uprawnień pracowniczych.</w:t>
      </w:r>
    </w:p>
    <w:p w14:paraId="7CF04490" w14:textId="7C80394A" w:rsidR="00985964" w:rsidRPr="00096530" w:rsidRDefault="00985964" w:rsidP="00096530">
      <w:pPr>
        <w:spacing w:after="160" w:line="276" w:lineRule="auto"/>
        <w:jc w:val="both"/>
        <w:rPr>
          <w:rFonts w:ascii="Calibri" w:hAnsi="Calibri" w:cs="Calibri"/>
          <w:b/>
          <w:bCs/>
          <w:color w:val="002060"/>
        </w:rPr>
      </w:pPr>
      <w:r w:rsidRPr="00096530">
        <w:rPr>
          <w:rFonts w:ascii="Calibri" w:hAnsi="Calibri" w:cs="Calibri"/>
          <w:b/>
          <w:bCs/>
          <w:color w:val="002060"/>
        </w:rPr>
        <w:t>Grafiki 2026 – wyzwanie dla managerów</w:t>
      </w:r>
    </w:p>
    <w:p w14:paraId="28833AA8" w14:textId="77777777" w:rsidR="00985964" w:rsidRPr="00096530" w:rsidRDefault="00985964" w:rsidP="00096530">
      <w:pPr>
        <w:spacing w:after="160" w:line="276" w:lineRule="auto"/>
        <w:jc w:val="both"/>
        <w:rPr>
          <w:rFonts w:ascii="Calibri" w:hAnsi="Calibri" w:cs="Calibri"/>
          <w:color w:val="002060"/>
        </w:rPr>
      </w:pPr>
      <w:r w:rsidRPr="00096530">
        <w:rPr>
          <w:rFonts w:ascii="Calibri" w:hAnsi="Calibri" w:cs="Calibri"/>
          <w:color w:val="002060"/>
        </w:rPr>
        <w:t>Wysoka liczba dni wolnych i zmiany w naliczaniu urlopów oznaczają, że przyszłoroczne planowanie czasu pracy będzie szczególnie wymagające. Kluczowe stanie się precyzyjne rozłożenie urlopów, tak aby firmy mogły sprawnie funkcjonować, a zespoły nie były przeciążone.</w:t>
      </w:r>
    </w:p>
    <w:p w14:paraId="0F112A7D" w14:textId="60048740" w:rsidR="00985964" w:rsidRPr="00096530" w:rsidRDefault="00985964" w:rsidP="00096530">
      <w:pPr>
        <w:spacing w:after="160" w:line="276" w:lineRule="auto"/>
        <w:jc w:val="both"/>
        <w:rPr>
          <w:rFonts w:ascii="Calibri" w:hAnsi="Calibri" w:cs="Calibri"/>
          <w:b/>
          <w:bCs/>
          <w:color w:val="002060"/>
        </w:rPr>
      </w:pPr>
      <w:r w:rsidRPr="00096530">
        <w:rPr>
          <w:rFonts w:ascii="Calibri" w:hAnsi="Calibri" w:cs="Calibri"/>
          <w:color w:val="002060"/>
        </w:rPr>
        <w:t xml:space="preserve">– </w:t>
      </w:r>
      <w:r w:rsidR="00292B71" w:rsidRPr="00096530">
        <w:rPr>
          <w:rFonts w:ascii="Calibri" w:hAnsi="Calibri" w:cs="Calibri"/>
          <w:i/>
          <w:iCs/>
          <w:color w:val="002060"/>
        </w:rPr>
        <w:t>Aby uniknąć</w:t>
      </w:r>
      <w:r w:rsidR="005A1F7F">
        <w:rPr>
          <w:rFonts w:ascii="Calibri" w:hAnsi="Calibri" w:cs="Calibri"/>
          <w:i/>
          <w:iCs/>
          <w:color w:val="002060"/>
        </w:rPr>
        <w:t xml:space="preserve"> luk</w:t>
      </w:r>
      <w:r w:rsidR="00292B71" w:rsidRPr="00096530">
        <w:rPr>
          <w:rFonts w:ascii="Calibri" w:hAnsi="Calibri" w:cs="Calibri"/>
          <w:i/>
          <w:iCs/>
          <w:color w:val="002060"/>
        </w:rPr>
        <w:t xml:space="preserve"> kadrowych, konieczne będzie</w:t>
      </w:r>
      <w:r w:rsidR="005A1F7F">
        <w:rPr>
          <w:rFonts w:ascii="Calibri" w:hAnsi="Calibri" w:cs="Calibri"/>
          <w:i/>
          <w:iCs/>
          <w:color w:val="002060"/>
        </w:rPr>
        <w:t xml:space="preserve"> planowanie urlopów pracowniczych z odpowiednim wyprzedzeniem, w</w:t>
      </w:r>
      <w:r w:rsidR="00292B71" w:rsidRPr="00096530">
        <w:rPr>
          <w:rFonts w:ascii="Calibri" w:hAnsi="Calibri" w:cs="Calibri"/>
          <w:i/>
          <w:iCs/>
          <w:color w:val="002060"/>
        </w:rPr>
        <w:t xml:space="preserve">cześniejsze zbieranie preferencji pracowników, wprowadzanie zastępstw oraz monitorowanie obciążenia zespołów. To szczególnie ważne, ponieważ za niewykorzystany urlop pracownikom przysługuje ekwiwalent finansowy, a niedopilnowanie tych obowiązków naraża firmę na sankcje – w przypadku kontroli kary mogą sięgać nawet 30 tysięcy złotych. Dlatego przyszłoroczne harmonogramy nie będą jedynie kwestią organizacyjną, ale również finansową i formalną odpowiedzialnością pracodawców – </w:t>
      </w:r>
      <w:r w:rsidR="00096530" w:rsidRPr="008B7661">
        <w:rPr>
          <w:rFonts w:ascii="Calibri" w:hAnsi="Calibri" w:cs="Calibri"/>
          <w:b/>
          <w:bCs/>
          <w:color w:val="002060"/>
        </w:rPr>
        <w:t xml:space="preserve">podsumowuje </w:t>
      </w:r>
      <w:r w:rsidR="00292B71" w:rsidRPr="008B7661">
        <w:rPr>
          <w:rFonts w:ascii="Calibri" w:hAnsi="Calibri" w:cs="Calibri"/>
          <w:b/>
          <w:bCs/>
          <w:color w:val="002060"/>
        </w:rPr>
        <w:t>Anna Pietraszko z Grupy Progres</w:t>
      </w:r>
      <w:r w:rsidR="00292B71" w:rsidRPr="008B7661">
        <w:rPr>
          <w:rFonts w:ascii="Calibri" w:hAnsi="Calibri" w:cs="Calibri"/>
          <w:color w:val="002060"/>
        </w:rPr>
        <w:t>.</w:t>
      </w:r>
    </w:p>
    <w:p w14:paraId="43F8C2C9" w14:textId="562C0A21" w:rsidR="003E1F86" w:rsidRPr="00096530" w:rsidRDefault="003E1F86" w:rsidP="00096530">
      <w:pPr>
        <w:pStyle w:val="NormalnyWeb"/>
        <w:shd w:val="clear" w:color="auto" w:fill="FFFFFF"/>
        <w:spacing w:line="276" w:lineRule="auto"/>
        <w:jc w:val="both"/>
        <w:rPr>
          <w:rFonts w:ascii="Calibri" w:hAnsi="Calibri" w:cs="Calibri"/>
          <w:color w:val="002060"/>
        </w:rPr>
      </w:pPr>
      <w:r w:rsidRPr="00096530">
        <w:rPr>
          <w:rFonts w:ascii="Calibri" w:hAnsi="Calibri" w:cs="Calibri"/>
          <w:color w:val="002060"/>
        </w:rPr>
        <w:t>***</w:t>
      </w:r>
    </w:p>
    <w:p w14:paraId="4C78B10E" w14:textId="77777777" w:rsidR="00692459" w:rsidRDefault="00692459"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tj. m.in. Deloitte - Best Managed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lastRenderedPageBreak/>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3368C410" w14:textId="77777777" w:rsidR="00071FFA" w:rsidRPr="00071FFA"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071FFA">
        <w:rPr>
          <w:rFonts w:ascii="Calibri" w:hAnsi="Calibri" w:cs="Calibri"/>
          <w:color w:val="002060"/>
          <w:lang w:val="en-US"/>
        </w:rPr>
        <w:t xml:space="preserve">e-mail: </w:t>
      </w:r>
      <w:hyperlink r:id="rId8" w:history="1">
        <w:r w:rsidRPr="00071FFA">
          <w:rPr>
            <w:rStyle w:val="Hipercze"/>
            <w:rFonts w:ascii="Calibri" w:hAnsi="Calibri" w:cs="Calibri"/>
            <w:color w:val="002060"/>
            <w:lang w:val="en-US"/>
          </w:rPr>
          <w:t>k.tyniec@bepr.pl</w:t>
        </w:r>
      </w:hyperlink>
      <w:r w:rsidR="006D016D" w:rsidRPr="00071FFA">
        <w:rPr>
          <w:rFonts w:ascii="Calibri" w:hAnsi="Calibri" w:cs="Calibri"/>
          <w:color w:val="002060"/>
          <w:lang w:val="en-US"/>
        </w:rPr>
        <w:t xml:space="preserve"> </w:t>
      </w:r>
      <w:r w:rsidR="00692459" w:rsidRPr="00071FFA">
        <w:rPr>
          <w:rFonts w:ascii="Calibri" w:hAnsi="Calibri" w:cs="Calibri"/>
          <w:color w:val="002060"/>
          <w:lang w:val="en-US"/>
        </w:rPr>
        <w:t xml:space="preserve"> </w:t>
      </w:r>
    </w:p>
    <w:p w14:paraId="089A0EF4" w14:textId="70CE3F8C" w:rsidR="00DF5583" w:rsidRPr="00692459"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692459">
        <w:rPr>
          <w:rFonts w:ascii="Calibri" w:hAnsi="Calibri" w:cs="Calibri"/>
          <w:color w:val="002060"/>
        </w:rPr>
        <w:t xml:space="preserve">kom. </w:t>
      </w:r>
      <w:r w:rsidRPr="00692459">
        <w:rPr>
          <w:rFonts w:ascii="Calibri" w:hAnsi="Calibri" w:cs="Calibri"/>
          <w:color w:val="002060"/>
          <w:lang w:val="en-US"/>
        </w:rPr>
        <w:t>+48 500 690 965</w:t>
      </w:r>
    </w:p>
    <w:sectPr w:rsidR="00DF5583" w:rsidRPr="0069245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E8A4" w14:textId="77777777" w:rsidR="007A50D3" w:rsidRDefault="007A50D3" w:rsidP="00B332FF">
      <w:r>
        <w:separator/>
      </w:r>
    </w:p>
  </w:endnote>
  <w:endnote w:type="continuationSeparator" w:id="0">
    <w:p w14:paraId="52D26DE1" w14:textId="77777777" w:rsidR="007A50D3" w:rsidRDefault="007A50D3"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&#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3ADD" w14:textId="77777777" w:rsidR="007A50D3" w:rsidRDefault="007A50D3" w:rsidP="00B332FF">
      <w:r>
        <w:separator/>
      </w:r>
    </w:p>
  </w:footnote>
  <w:footnote w:type="continuationSeparator" w:id="0">
    <w:p w14:paraId="190588D0" w14:textId="77777777" w:rsidR="007A50D3" w:rsidRDefault="007A50D3"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&#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6"/>
  </w:num>
  <w:num w:numId="3" w16cid:durableId="1714769923">
    <w:abstractNumId w:val="24"/>
  </w:num>
  <w:num w:numId="4" w16cid:durableId="2081246455">
    <w:abstractNumId w:val="6"/>
  </w:num>
  <w:num w:numId="5" w16cid:durableId="1540320976">
    <w:abstractNumId w:val="23"/>
  </w:num>
  <w:num w:numId="6" w16cid:durableId="1414085053">
    <w:abstractNumId w:val="7"/>
  </w:num>
  <w:num w:numId="7" w16cid:durableId="1214734065">
    <w:abstractNumId w:val="27"/>
  </w:num>
  <w:num w:numId="8" w16cid:durableId="254291827">
    <w:abstractNumId w:val="2"/>
  </w:num>
  <w:num w:numId="9" w16cid:durableId="507403002">
    <w:abstractNumId w:val="1"/>
  </w:num>
  <w:num w:numId="10" w16cid:durableId="1902404399">
    <w:abstractNumId w:val="26"/>
  </w:num>
  <w:num w:numId="11" w16cid:durableId="1633288417">
    <w:abstractNumId w:val="22"/>
  </w:num>
  <w:num w:numId="12" w16cid:durableId="377634687">
    <w:abstractNumId w:val="19"/>
  </w:num>
  <w:num w:numId="13" w16cid:durableId="911044234">
    <w:abstractNumId w:val="15"/>
  </w:num>
  <w:num w:numId="14" w16cid:durableId="1137453245">
    <w:abstractNumId w:val="21"/>
  </w:num>
  <w:num w:numId="15" w16cid:durableId="470363962">
    <w:abstractNumId w:val="28"/>
  </w:num>
  <w:num w:numId="16" w16cid:durableId="1285700013">
    <w:abstractNumId w:val="13"/>
  </w:num>
  <w:num w:numId="17" w16cid:durableId="1133795825">
    <w:abstractNumId w:val="20"/>
  </w:num>
  <w:num w:numId="18" w16cid:durableId="1303537857">
    <w:abstractNumId w:val="17"/>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1"/>
  </w:num>
  <w:num w:numId="26" w16cid:durableId="1858739647">
    <w:abstractNumId w:val="18"/>
  </w:num>
  <w:num w:numId="27" w16cid:durableId="1749188407">
    <w:abstractNumId w:val="25"/>
  </w:num>
  <w:num w:numId="28" w16cid:durableId="1915166775">
    <w:abstractNumId w:val="8"/>
  </w:num>
  <w:num w:numId="29" w16cid:durableId="1597904237">
    <w:abstractNumId w:val="4"/>
  </w:num>
  <w:num w:numId="30" w16cid:durableId="741413647">
    <w:abstractNumId w:val="10"/>
  </w:num>
  <w:num w:numId="31" w16cid:durableId="128672338">
    <w:abstractNumId w:val="14"/>
  </w:num>
  <w:num w:numId="32" w16cid:durableId="2023777928">
    <w:abstractNumId w:val="29"/>
  </w:num>
  <w:num w:numId="33" w16cid:durableId="19851158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974"/>
    <w:rsid w:val="00036102"/>
    <w:rsid w:val="0003646B"/>
    <w:rsid w:val="0004097E"/>
    <w:rsid w:val="000426D5"/>
    <w:rsid w:val="0004544B"/>
    <w:rsid w:val="0005083D"/>
    <w:rsid w:val="00051B3A"/>
    <w:rsid w:val="00051FE9"/>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101036"/>
    <w:rsid w:val="00102972"/>
    <w:rsid w:val="00104DBB"/>
    <w:rsid w:val="001063AF"/>
    <w:rsid w:val="001076DD"/>
    <w:rsid w:val="00110127"/>
    <w:rsid w:val="0011242C"/>
    <w:rsid w:val="001126CB"/>
    <w:rsid w:val="00112702"/>
    <w:rsid w:val="00114250"/>
    <w:rsid w:val="001219D9"/>
    <w:rsid w:val="0012631C"/>
    <w:rsid w:val="0013167C"/>
    <w:rsid w:val="00132496"/>
    <w:rsid w:val="0013343E"/>
    <w:rsid w:val="00135442"/>
    <w:rsid w:val="001410D7"/>
    <w:rsid w:val="001477B9"/>
    <w:rsid w:val="001522F5"/>
    <w:rsid w:val="00152D23"/>
    <w:rsid w:val="00153FE2"/>
    <w:rsid w:val="0015784A"/>
    <w:rsid w:val="00161A44"/>
    <w:rsid w:val="00164A7D"/>
    <w:rsid w:val="00164C7C"/>
    <w:rsid w:val="00165D83"/>
    <w:rsid w:val="00170E88"/>
    <w:rsid w:val="00172852"/>
    <w:rsid w:val="00180C30"/>
    <w:rsid w:val="00180F6C"/>
    <w:rsid w:val="001834B1"/>
    <w:rsid w:val="00186403"/>
    <w:rsid w:val="001869A6"/>
    <w:rsid w:val="00190903"/>
    <w:rsid w:val="00192A33"/>
    <w:rsid w:val="001944AA"/>
    <w:rsid w:val="00194540"/>
    <w:rsid w:val="00196A38"/>
    <w:rsid w:val="001A077B"/>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7C74"/>
    <w:rsid w:val="0020602B"/>
    <w:rsid w:val="002102B1"/>
    <w:rsid w:val="002102D7"/>
    <w:rsid w:val="00215C72"/>
    <w:rsid w:val="0021608E"/>
    <w:rsid w:val="00217BD9"/>
    <w:rsid w:val="00220577"/>
    <w:rsid w:val="00221DC3"/>
    <w:rsid w:val="002225C7"/>
    <w:rsid w:val="0022291A"/>
    <w:rsid w:val="00225843"/>
    <w:rsid w:val="00226317"/>
    <w:rsid w:val="00226588"/>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51CB2"/>
    <w:rsid w:val="002527CA"/>
    <w:rsid w:val="00252DE4"/>
    <w:rsid w:val="002547CE"/>
    <w:rsid w:val="00254F0A"/>
    <w:rsid w:val="00254F35"/>
    <w:rsid w:val="00256855"/>
    <w:rsid w:val="00270F72"/>
    <w:rsid w:val="00271898"/>
    <w:rsid w:val="00274C55"/>
    <w:rsid w:val="0027776A"/>
    <w:rsid w:val="00280B72"/>
    <w:rsid w:val="00286E1F"/>
    <w:rsid w:val="0028720F"/>
    <w:rsid w:val="002875E9"/>
    <w:rsid w:val="00292B71"/>
    <w:rsid w:val="00293D11"/>
    <w:rsid w:val="0029614E"/>
    <w:rsid w:val="00296C98"/>
    <w:rsid w:val="00296D40"/>
    <w:rsid w:val="002A1444"/>
    <w:rsid w:val="002A3BAD"/>
    <w:rsid w:val="002A406D"/>
    <w:rsid w:val="002A5441"/>
    <w:rsid w:val="002A6884"/>
    <w:rsid w:val="002A7538"/>
    <w:rsid w:val="002B2936"/>
    <w:rsid w:val="002B550C"/>
    <w:rsid w:val="002B6D71"/>
    <w:rsid w:val="002C19BC"/>
    <w:rsid w:val="002C295A"/>
    <w:rsid w:val="002C4124"/>
    <w:rsid w:val="002C66B4"/>
    <w:rsid w:val="002C7FCC"/>
    <w:rsid w:val="002D06AC"/>
    <w:rsid w:val="002D14F1"/>
    <w:rsid w:val="002E3D12"/>
    <w:rsid w:val="002E4735"/>
    <w:rsid w:val="002E4D8D"/>
    <w:rsid w:val="002E6E25"/>
    <w:rsid w:val="002E6E5D"/>
    <w:rsid w:val="002E6FD1"/>
    <w:rsid w:val="002F04AB"/>
    <w:rsid w:val="002F1792"/>
    <w:rsid w:val="002F3B0E"/>
    <w:rsid w:val="002F6058"/>
    <w:rsid w:val="00300D4E"/>
    <w:rsid w:val="00301E41"/>
    <w:rsid w:val="00304703"/>
    <w:rsid w:val="00312BD2"/>
    <w:rsid w:val="0031516E"/>
    <w:rsid w:val="00315E24"/>
    <w:rsid w:val="00321C33"/>
    <w:rsid w:val="00323633"/>
    <w:rsid w:val="00326F34"/>
    <w:rsid w:val="0032786E"/>
    <w:rsid w:val="003279BE"/>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4608"/>
    <w:rsid w:val="00375853"/>
    <w:rsid w:val="00381731"/>
    <w:rsid w:val="00381CC9"/>
    <w:rsid w:val="00383554"/>
    <w:rsid w:val="00383865"/>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5107"/>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2ABA"/>
    <w:rsid w:val="00412F56"/>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272"/>
    <w:rsid w:val="00461321"/>
    <w:rsid w:val="00461C45"/>
    <w:rsid w:val="00463167"/>
    <w:rsid w:val="00465B97"/>
    <w:rsid w:val="00470A1B"/>
    <w:rsid w:val="00470A22"/>
    <w:rsid w:val="00476C4A"/>
    <w:rsid w:val="00477278"/>
    <w:rsid w:val="004774D8"/>
    <w:rsid w:val="00477F5E"/>
    <w:rsid w:val="004801AD"/>
    <w:rsid w:val="004815B8"/>
    <w:rsid w:val="00481951"/>
    <w:rsid w:val="004940C3"/>
    <w:rsid w:val="00494103"/>
    <w:rsid w:val="00495EC6"/>
    <w:rsid w:val="004972D7"/>
    <w:rsid w:val="00497D22"/>
    <w:rsid w:val="004A2351"/>
    <w:rsid w:val="004A2A29"/>
    <w:rsid w:val="004A445E"/>
    <w:rsid w:val="004A7345"/>
    <w:rsid w:val="004B1707"/>
    <w:rsid w:val="004B7E12"/>
    <w:rsid w:val="004C1449"/>
    <w:rsid w:val="004C248C"/>
    <w:rsid w:val="004C681F"/>
    <w:rsid w:val="004D02EB"/>
    <w:rsid w:val="004D12DE"/>
    <w:rsid w:val="004D70D3"/>
    <w:rsid w:val="004E09FB"/>
    <w:rsid w:val="004E22CE"/>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103E0"/>
    <w:rsid w:val="00510AD3"/>
    <w:rsid w:val="00511830"/>
    <w:rsid w:val="00512452"/>
    <w:rsid w:val="00512A67"/>
    <w:rsid w:val="00512F62"/>
    <w:rsid w:val="00514E69"/>
    <w:rsid w:val="00516A5A"/>
    <w:rsid w:val="00521ECD"/>
    <w:rsid w:val="0052476B"/>
    <w:rsid w:val="00524B5B"/>
    <w:rsid w:val="005262E5"/>
    <w:rsid w:val="00526B68"/>
    <w:rsid w:val="0053033B"/>
    <w:rsid w:val="00530981"/>
    <w:rsid w:val="0053339A"/>
    <w:rsid w:val="00533A72"/>
    <w:rsid w:val="00533F28"/>
    <w:rsid w:val="0053464A"/>
    <w:rsid w:val="00536118"/>
    <w:rsid w:val="00536777"/>
    <w:rsid w:val="00540F74"/>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6A8"/>
    <w:rsid w:val="005836B0"/>
    <w:rsid w:val="00585849"/>
    <w:rsid w:val="00587B64"/>
    <w:rsid w:val="0059056F"/>
    <w:rsid w:val="00592498"/>
    <w:rsid w:val="005927B2"/>
    <w:rsid w:val="00594EDA"/>
    <w:rsid w:val="005952CE"/>
    <w:rsid w:val="005956A4"/>
    <w:rsid w:val="00596452"/>
    <w:rsid w:val="00596DC8"/>
    <w:rsid w:val="005973BF"/>
    <w:rsid w:val="005A09C9"/>
    <w:rsid w:val="005A1F7F"/>
    <w:rsid w:val="005A212B"/>
    <w:rsid w:val="005A3F81"/>
    <w:rsid w:val="005A634F"/>
    <w:rsid w:val="005B037E"/>
    <w:rsid w:val="005B28FC"/>
    <w:rsid w:val="005B43EC"/>
    <w:rsid w:val="005C1FA5"/>
    <w:rsid w:val="005C4587"/>
    <w:rsid w:val="005C67FD"/>
    <w:rsid w:val="005C7553"/>
    <w:rsid w:val="005D0E64"/>
    <w:rsid w:val="005D1823"/>
    <w:rsid w:val="005D1E6D"/>
    <w:rsid w:val="005D25B5"/>
    <w:rsid w:val="005D39B9"/>
    <w:rsid w:val="005D56D5"/>
    <w:rsid w:val="005E217E"/>
    <w:rsid w:val="005E3401"/>
    <w:rsid w:val="005F355A"/>
    <w:rsid w:val="005F6596"/>
    <w:rsid w:val="005F6ECC"/>
    <w:rsid w:val="005F7D5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167D"/>
    <w:rsid w:val="00643689"/>
    <w:rsid w:val="006450DC"/>
    <w:rsid w:val="00651118"/>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935C2"/>
    <w:rsid w:val="00696757"/>
    <w:rsid w:val="006A1184"/>
    <w:rsid w:val="006A17E8"/>
    <w:rsid w:val="006A2CD4"/>
    <w:rsid w:val="006A2E1A"/>
    <w:rsid w:val="006B0241"/>
    <w:rsid w:val="006B1430"/>
    <w:rsid w:val="006B7FD5"/>
    <w:rsid w:val="006C0683"/>
    <w:rsid w:val="006C0A82"/>
    <w:rsid w:val="006C0EA6"/>
    <w:rsid w:val="006C3A25"/>
    <w:rsid w:val="006D016D"/>
    <w:rsid w:val="006D32CA"/>
    <w:rsid w:val="006D5D94"/>
    <w:rsid w:val="006D6514"/>
    <w:rsid w:val="006D652A"/>
    <w:rsid w:val="006D6FC0"/>
    <w:rsid w:val="006E1DD8"/>
    <w:rsid w:val="006E38A9"/>
    <w:rsid w:val="006E57A4"/>
    <w:rsid w:val="006E657F"/>
    <w:rsid w:val="006F0E35"/>
    <w:rsid w:val="006F377D"/>
    <w:rsid w:val="007011C7"/>
    <w:rsid w:val="0070165E"/>
    <w:rsid w:val="00701684"/>
    <w:rsid w:val="00707193"/>
    <w:rsid w:val="007104E2"/>
    <w:rsid w:val="00710D44"/>
    <w:rsid w:val="00711579"/>
    <w:rsid w:val="00714B45"/>
    <w:rsid w:val="00714FF0"/>
    <w:rsid w:val="007157FA"/>
    <w:rsid w:val="00717D5E"/>
    <w:rsid w:val="00722D75"/>
    <w:rsid w:val="007240ED"/>
    <w:rsid w:val="00724C9D"/>
    <w:rsid w:val="00731CCB"/>
    <w:rsid w:val="00733113"/>
    <w:rsid w:val="00734B04"/>
    <w:rsid w:val="0073565E"/>
    <w:rsid w:val="00735D8C"/>
    <w:rsid w:val="00740A88"/>
    <w:rsid w:val="00741F7E"/>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50D3"/>
    <w:rsid w:val="007A6828"/>
    <w:rsid w:val="007B2416"/>
    <w:rsid w:val="007B3CC1"/>
    <w:rsid w:val="007B3D7D"/>
    <w:rsid w:val="007B404D"/>
    <w:rsid w:val="007B5463"/>
    <w:rsid w:val="007B7852"/>
    <w:rsid w:val="007C01D3"/>
    <w:rsid w:val="007C0757"/>
    <w:rsid w:val="007C0AE6"/>
    <w:rsid w:val="007C36E9"/>
    <w:rsid w:val="007C50A0"/>
    <w:rsid w:val="007C7383"/>
    <w:rsid w:val="007C75A5"/>
    <w:rsid w:val="007C7859"/>
    <w:rsid w:val="007C7BDD"/>
    <w:rsid w:val="007D0392"/>
    <w:rsid w:val="007D0D8F"/>
    <w:rsid w:val="007D1FD1"/>
    <w:rsid w:val="007D2EEF"/>
    <w:rsid w:val="007D3307"/>
    <w:rsid w:val="007D37FD"/>
    <w:rsid w:val="007D737D"/>
    <w:rsid w:val="007D7DB7"/>
    <w:rsid w:val="007E0B90"/>
    <w:rsid w:val="007E1799"/>
    <w:rsid w:val="007E27AB"/>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30AB1"/>
    <w:rsid w:val="00835696"/>
    <w:rsid w:val="008375C6"/>
    <w:rsid w:val="00840053"/>
    <w:rsid w:val="00842A01"/>
    <w:rsid w:val="008464B2"/>
    <w:rsid w:val="00847211"/>
    <w:rsid w:val="00851356"/>
    <w:rsid w:val="008544C3"/>
    <w:rsid w:val="008561D1"/>
    <w:rsid w:val="00856A9E"/>
    <w:rsid w:val="00873462"/>
    <w:rsid w:val="008738BB"/>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9B6"/>
    <w:rsid w:val="008C6CA2"/>
    <w:rsid w:val="008D07D5"/>
    <w:rsid w:val="008D0ED1"/>
    <w:rsid w:val="008D2771"/>
    <w:rsid w:val="008D4275"/>
    <w:rsid w:val="008D4AE3"/>
    <w:rsid w:val="008D6766"/>
    <w:rsid w:val="008E0E59"/>
    <w:rsid w:val="008E0F0E"/>
    <w:rsid w:val="008E11FC"/>
    <w:rsid w:val="008E1876"/>
    <w:rsid w:val="008E1988"/>
    <w:rsid w:val="008E1FE5"/>
    <w:rsid w:val="008E380D"/>
    <w:rsid w:val="008E409C"/>
    <w:rsid w:val="008E441B"/>
    <w:rsid w:val="008E7511"/>
    <w:rsid w:val="008F3013"/>
    <w:rsid w:val="008F4EF4"/>
    <w:rsid w:val="00900BC8"/>
    <w:rsid w:val="00902AA9"/>
    <w:rsid w:val="00902F43"/>
    <w:rsid w:val="00903D97"/>
    <w:rsid w:val="00904401"/>
    <w:rsid w:val="009050EC"/>
    <w:rsid w:val="009072B0"/>
    <w:rsid w:val="0091062A"/>
    <w:rsid w:val="00911CFB"/>
    <w:rsid w:val="0091269A"/>
    <w:rsid w:val="00912723"/>
    <w:rsid w:val="009157F2"/>
    <w:rsid w:val="00915B6C"/>
    <w:rsid w:val="00923A2F"/>
    <w:rsid w:val="00924527"/>
    <w:rsid w:val="00924EAB"/>
    <w:rsid w:val="00927B36"/>
    <w:rsid w:val="0093053E"/>
    <w:rsid w:val="00933034"/>
    <w:rsid w:val="00935535"/>
    <w:rsid w:val="009361D1"/>
    <w:rsid w:val="00937137"/>
    <w:rsid w:val="00937AF8"/>
    <w:rsid w:val="00945355"/>
    <w:rsid w:val="00945EFD"/>
    <w:rsid w:val="00947D6D"/>
    <w:rsid w:val="00951E1F"/>
    <w:rsid w:val="00951E4B"/>
    <w:rsid w:val="00952436"/>
    <w:rsid w:val="00952854"/>
    <w:rsid w:val="009540D7"/>
    <w:rsid w:val="00956ADF"/>
    <w:rsid w:val="00956DA8"/>
    <w:rsid w:val="009571ED"/>
    <w:rsid w:val="00960AC1"/>
    <w:rsid w:val="0096237C"/>
    <w:rsid w:val="00964336"/>
    <w:rsid w:val="009646A6"/>
    <w:rsid w:val="009660F1"/>
    <w:rsid w:val="00966636"/>
    <w:rsid w:val="0097356E"/>
    <w:rsid w:val="00974C5D"/>
    <w:rsid w:val="00981EC9"/>
    <w:rsid w:val="00982A64"/>
    <w:rsid w:val="009833BE"/>
    <w:rsid w:val="00985964"/>
    <w:rsid w:val="00990859"/>
    <w:rsid w:val="00991D81"/>
    <w:rsid w:val="00995675"/>
    <w:rsid w:val="009967F3"/>
    <w:rsid w:val="009970FB"/>
    <w:rsid w:val="0099771C"/>
    <w:rsid w:val="009A19B2"/>
    <w:rsid w:val="009A75F4"/>
    <w:rsid w:val="009B0463"/>
    <w:rsid w:val="009B155A"/>
    <w:rsid w:val="009B24DF"/>
    <w:rsid w:val="009B302C"/>
    <w:rsid w:val="009B4C94"/>
    <w:rsid w:val="009B5B52"/>
    <w:rsid w:val="009B6CD0"/>
    <w:rsid w:val="009B72D7"/>
    <w:rsid w:val="009C03E3"/>
    <w:rsid w:val="009C23BE"/>
    <w:rsid w:val="009C2D4E"/>
    <w:rsid w:val="009C4B27"/>
    <w:rsid w:val="009C5266"/>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72E"/>
    <w:rsid w:val="009F4B3E"/>
    <w:rsid w:val="009F661A"/>
    <w:rsid w:val="009F6B3C"/>
    <w:rsid w:val="009F7C4B"/>
    <w:rsid w:val="009F7EC3"/>
    <w:rsid w:val="00A00851"/>
    <w:rsid w:val="00A03887"/>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D6A"/>
    <w:rsid w:val="00B001C9"/>
    <w:rsid w:val="00B03505"/>
    <w:rsid w:val="00B05E2E"/>
    <w:rsid w:val="00B073A6"/>
    <w:rsid w:val="00B13C03"/>
    <w:rsid w:val="00B17AC1"/>
    <w:rsid w:val="00B20DA7"/>
    <w:rsid w:val="00B22511"/>
    <w:rsid w:val="00B22885"/>
    <w:rsid w:val="00B23A03"/>
    <w:rsid w:val="00B248A1"/>
    <w:rsid w:val="00B24D8D"/>
    <w:rsid w:val="00B315A7"/>
    <w:rsid w:val="00B315AF"/>
    <w:rsid w:val="00B320B9"/>
    <w:rsid w:val="00B332FF"/>
    <w:rsid w:val="00B36436"/>
    <w:rsid w:val="00B40C21"/>
    <w:rsid w:val="00B4441A"/>
    <w:rsid w:val="00B47465"/>
    <w:rsid w:val="00B4763B"/>
    <w:rsid w:val="00B47FB0"/>
    <w:rsid w:val="00B521EE"/>
    <w:rsid w:val="00B540CC"/>
    <w:rsid w:val="00B54A0C"/>
    <w:rsid w:val="00B56394"/>
    <w:rsid w:val="00B569D2"/>
    <w:rsid w:val="00B56C5A"/>
    <w:rsid w:val="00B577CF"/>
    <w:rsid w:val="00B625B4"/>
    <w:rsid w:val="00B63CEC"/>
    <w:rsid w:val="00B66E64"/>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C7A5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21316"/>
    <w:rsid w:val="00C22A96"/>
    <w:rsid w:val="00C23075"/>
    <w:rsid w:val="00C259ED"/>
    <w:rsid w:val="00C25FAF"/>
    <w:rsid w:val="00C30652"/>
    <w:rsid w:val="00C314F7"/>
    <w:rsid w:val="00C31FA6"/>
    <w:rsid w:val="00C3641C"/>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703CA"/>
    <w:rsid w:val="00C713DD"/>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7D89"/>
    <w:rsid w:val="00CF0803"/>
    <w:rsid w:val="00CF105F"/>
    <w:rsid w:val="00CF148D"/>
    <w:rsid w:val="00CF635D"/>
    <w:rsid w:val="00CF6432"/>
    <w:rsid w:val="00CF778E"/>
    <w:rsid w:val="00D042CF"/>
    <w:rsid w:val="00D04677"/>
    <w:rsid w:val="00D0685D"/>
    <w:rsid w:val="00D06C42"/>
    <w:rsid w:val="00D07E15"/>
    <w:rsid w:val="00D12CC8"/>
    <w:rsid w:val="00D12EAA"/>
    <w:rsid w:val="00D14900"/>
    <w:rsid w:val="00D164F1"/>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0565"/>
    <w:rsid w:val="00DD25D9"/>
    <w:rsid w:val="00DD2D35"/>
    <w:rsid w:val="00DD4FB9"/>
    <w:rsid w:val="00DD6DBA"/>
    <w:rsid w:val="00DF23DC"/>
    <w:rsid w:val="00DF2BE8"/>
    <w:rsid w:val="00DF5583"/>
    <w:rsid w:val="00E00EFD"/>
    <w:rsid w:val="00E017EC"/>
    <w:rsid w:val="00E03C52"/>
    <w:rsid w:val="00E05548"/>
    <w:rsid w:val="00E07EAA"/>
    <w:rsid w:val="00E123DB"/>
    <w:rsid w:val="00E12F4F"/>
    <w:rsid w:val="00E13061"/>
    <w:rsid w:val="00E13B3B"/>
    <w:rsid w:val="00E16B37"/>
    <w:rsid w:val="00E20A60"/>
    <w:rsid w:val="00E22054"/>
    <w:rsid w:val="00E233AE"/>
    <w:rsid w:val="00E24786"/>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B9B"/>
    <w:rsid w:val="00E60047"/>
    <w:rsid w:val="00E63EE8"/>
    <w:rsid w:val="00E65520"/>
    <w:rsid w:val="00E66EC5"/>
    <w:rsid w:val="00E671BC"/>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36C1"/>
    <w:rsid w:val="00F44C66"/>
    <w:rsid w:val="00F46F49"/>
    <w:rsid w:val="00F50A10"/>
    <w:rsid w:val="00F51440"/>
    <w:rsid w:val="00F52FD7"/>
    <w:rsid w:val="00F549BC"/>
    <w:rsid w:val="00F54BC8"/>
    <w:rsid w:val="00F60908"/>
    <w:rsid w:val="00F60D97"/>
    <w:rsid w:val="00F6330B"/>
    <w:rsid w:val="00F639C0"/>
    <w:rsid w:val="00F64107"/>
    <w:rsid w:val="00F659AF"/>
    <w:rsid w:val="00F66B73"/>
    <w:rsid w:val="00F66F24"/>
    <w:rsid w:val="00F720F8"/>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B33D1"/>
    <w:rsid w:val="00FB77FC"/>
    <w:rsid w:val="00FC0AB4"/>
    <w:rsid w:val="00FC1310"/>
    <w:rsid w:val="00FC3E8A"/>
    <w:rsid w:val="00FC48DF"/>
    <w:rsid w:val="00FC48F8"/>
    <w:rsid w:val="00FC6E7E"/>
    <w:rsid w:val="00FD106E"/>
    <w:rsid w:val="00FD2FE0"/>
    <w:rsid w:val="00FD5D29"/>
    <w:rsid w:val="00FD6D61"/>
    <w:rsid w:val="00FE0846"/>
    <w:rsid w:val="00FE088A"/>
    <w:rsid w:val="00FE0D1B"/>
    <w:rsid w:val="00FE13C8"/>
    <w:rsid w:val="00FE1FF2"/>
    <w:rsid w:val="00FE4C3A"/>
    <w:rsid w:val="00FE517A"/>
    <w:rsid w:val="00FE755A"/>
    <w:rsid w:val="00FF0190"/>
    <w:rsid w:val="00FF038F"/>
    <w:rsid w:val="00FF1A74"/>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1215</Words>
  <Characters>7294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8</cp:revision>
  <cp:lastPrinted>2025-10-14T15:01:00Z</cp:lastPrinted>
  <dcterms:created xsi:type="dcterms:W3CDTF">2025-12-05T11:11:00Z</dcterms:created>
  <dcterms:modified xsi:type="dcterms:W3CDTF">2025-12-16T10:10:00Z</dcterms:modified>
</cp:coreProperties>
</file>