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3EDF" w14:textId="751CB91A" w:rsidR="0027513E" w:rsidRPr="00A73ECA" w:rsidRDefault="00FB77FC" w:rsidP="00A73ECA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1678BC">
        <w:rPr>
          <w:rFonts w:asciiTheme="minorHAnsi" w:hAnsiTheme="minorHAnsi" w:cstheme="minorHAnsi"/>
          <w:color w:val="002060"/>
          <w:u w:val="single"/>
        </w:rPr>
        <w:t>Infor</w:t>
      </w:r>
      <w:r w:rsidRPr="00A73ECA">
        <w:rPr>
          <w:rFonts w:asciiTheme="minorHAnsi" w:hAnsiTheme="minorHAnsi" w:cstheme="minorHAnsi"/>
          <w:color w:val="002060"/>
          <w:u w:val="single"/>
        </w:rPr>
        <w:t>macja prasowa</w:t>
      </w:r>
      <w:r w:rsidR="007508C7" w:rsidRPr="00A73ECA">
        <w:rPr>
          <w:rFonts w:asciiTheme="minorHAnsi" w:hAnsiTheme="minorHAnsi" w:cstheme="minorHAnsi"/>
          <w:color w:val="002060"/>
        </w:rPr>
        <w:tab/>
      </w:r>
      <w:r w:rsidR="007508C7" w:rsidRPr="00A73ECA">
        <w:rPr>
          <w:rFonts w:asciiTheme="minorHAnsi" w:hAnsiTheme="minorHAnsi" w:cstheme="minorHAnsi"/>
          <w:color w:val="002060"/>
        </w:rPr>
        <w:tab/>
      </w:r>
      <w:r w:rsidR="007508C7" w:rsidRPr="00A73ECA">
        <w:rPr>
          <w:rFonts w:asciiTheme="minorHAnsi" w:hAnsiTheme="minorHAnsi" w:cstheme="minorHAnsi"/>
          <w:color w:val="002060"/>
        </w:rPr>
        <w:tab/>
      </w:r>
      <w:r w:rsidR="007508C7" w:rsidRPr="00A73ECA">
        <w:rPr>
          <w:rFonts w:asciiTheme="minorHAnsi" w:hAnsiTheme="minorHAnsi" w:cstheme="minorHAnsi"/>
          <w:color w:val="002060"/>
        </w:rPr>
        <w:tab/>
      </w:r>
      <w:r w:rsidR="007508C7" w:rsidRPr="00A73ECA">
        <w:rPr>
          <w:rFonts w:asciiTheme="minorHAnsi" w:hAnsiTheme="minorHAnsi" w:cstheme="minorHAnsi"/>
          <w:color w:val="002060"/>
        </w:rPr>
        <w:tab/>
      </w:r>
      <w:r w:rsidR="007508C7" w:rsidRPr="00A73ECA">
        <w:rPr>
          <w:rFonts w:asciiTheme="minorHAnsi" w:hAnsiTheme="minorHAnsi" w:cstheme="minorHAnsi"/>
          <w:color w:val="002060"/>
        </w:rPr>
        <w:tab/>
      </w:r>
      <w:r w:rsidR="007508C7" w:rsidRPr="00A73ECA">
        <w:rPr>
          <w:rFonts w:asciiTheme="minorHAnsi" w:hAnsiTheme="minorHAnsi" w:cstheme="minorHAnsi"/>
          <w:color w:val="002060"/>
        </w:rPr>
        <w:tab/>
      </w:r>
      <w:r w:rsidR="003E2B3B" w:rsidRPr="00A73ECA">
        <w:rPr>
          <w:rFonts w:asciiTheme="minorHAnsi" w:hAnsiTheme="minorHAnsi" w:cstheme="minorHAnsi"/>
          <w:color w:val="002060"/>
        </w:rPr>
        <w:t xml:space="preserve"> </w:t>
      </w:r>
      <w:r w:rsidR="00F743A3" w:rsidRPr="00A73ECA">
        <w:rPr>
          <w:rFonts w:asciiTheme="minorHAnsi" w:hAnsiTheme="minorHAnsi" w:cstheme="minorHAnsi"/>
          <w:color w:val="002060"/>
        </w:rPr>
        <w:t xml:space="preserve">   </w:t>
      </w:r>
      <w:r w:rsidR="00AA0D6E" w:rsidRPr="00A73ECA">
        <w:rPr>
          <w:rFonts w:asciiTheme="minorHAnsi" w:hAnsiTheme="minorHAnsi" w:cstheme="minorHAnsi"/>
          <w:color w:val="002060"/>
        </w:rPr>
        <w:t>Gdańsk,</w:t>
      </w:r>
      <w:r w:rsidR="00624A32" w:rsidRPr="00A73ECA">
        <w:rPr>
          <w:rFonts w:asciiTheme="minorHAnsi" w:hAnsiTheme="minorHAnsi" w:cstheme="minorHAnsi"/>
          <w:color w:val="002060"/>
        </w:rPr>
        <w:t xml:space="preserve"> </w:t>
      </w:r>
      <w:r w:rsidR="00A52F49" w:rsidRPr="00A73ECA">
        <w:rPr>
          <w:rFonts w:asciiTheme="minorHAnsi" w:hAnsiTheme="minorHAnsi" w:cstheme="minorHAnsi"/>
          <w:color w:val="002060"/>
        </w:rPr>
        <w:t>1</w:t>
      </w:r>
      <w:r w:rsidR="009E4A2D" w:rsidRPr="00A73ECA">
        <w:rPr>
          <w:rFonts w:asciiTheme="minorHAnsi" w:hAnsiTheme="minorHAnsi" w:cstheme="minorHAnsi"/>
          <w:color w:val="002060"/>
        </w:rPr>
        <w:t>6</w:t>
      </w:r>
      <w:r w:rsidR="00901B5D" w:rsidRPr="00A73ECA">
        <w:rPr>
          <w:rFonts w:asciiTheme="minorHAnsi" w:hAnsiTheme="minorHAnsi" w:cstheme="minorHAnsi"/>
          <w:color w:val="002060"/>
        </w:rPr>
        <w:t xml:space="preserve"> </w:t>
      </w:r>
      <w:r w:rsidR="001678BC" w:rsidRPr="00A73ECA">
        <w:rPr>
          <w:rFonts w:asciiTheme="minorHAnsi" w:hAnsiTheme="minorHAnsi" w:cstheme="minorHAnsi"/>
          <w:color w:val="002060"/>
        </w:rPr>
        <w:t>czerwca</w:t>
      </w:r>
      <w:r w:rsidR="009A19B2" w:rsidRPr="00A73ECA">
        <w:rPr>
          <w:rFonts w:asciiTheme="minorHAnsi" w:hAnsiTheme="minorHAnsi" w:cstheme="minorHAnsi"/>
          <w:color w:val="002060"/>
        </w:rPr>
        <w:t xml:space="preserve"> </w:t>
      </w:r>
      <w:r w:rsidR="007508C7" w:rsidRPr="00A73ECA">
        <w:rPr>
          <w:rFonts w:asciiTheme="minorHAnsi" w:hAnsiTheme="minorHAnsi" w:cstheme="minorHAnsi"/>
          <w:color w:val="002060"/>
        </w:rPr>
        <w:t>202</w:t>
      </w:r>
      <w:r w:rsidR="00300D4E" w:rsidRPr="00A73ECA">
        <w:rPr>
          <w:rFonts w:asciiTheme="minorHAnsi" w:hAnsiTheme="minorHAnsi" w:cstheme="minorHAnsi"/>
          <w:color w:val="002060"/>
        </w:rPr>
        <w:t>5</w:t>
      </w:r>
      <w:r w:rsidR="007508C7" w:rsidRPr="00A73ECA">
        <w:rPr>
          <w:rFonts w:asciiTheme="minorHAnsi" w:hAnsiTheme="minorHAnsi" w:cstheme="minorHAnsi"/>
          <w:color w:val="002060"/>
        </w:rPr>
        <w:t xml:space="preserve"> </w:t>
      </w:r>
    </w:p>
    <w:p w14:paraId="0F0DE480" w14:textId="77777777" w:rsidR="00F71282" w:rsidRPr="00A73ECA" w:rsidRDefault="00F71282" w:rsidP="00A73ECA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</w:p>
    <w:p w14:paraId="7F0AA580" w14:textId="2E72BCE5" w:rsidR="009E4A2D" w:rsidRPr="00A73ECA" w:rsidRDefault="009E4A2D" w:rsidP="00A73ECA">
      <w:pPr>
        <w:spacing w:after="160" w:line="276" w:lineRule="auto"/>
        <w:jc w:val="center"/>
        <w:rPr>
          <w:rFonts w:ascii="Calibri" w:hAnsi="Calibri" w:cs="Calibri"/>
          <w:b/>
          <w:bCs/>
          <w:color w:val="002060"/>
        </w:rPr>
      </w:pPr>
      <w:r w:rsidRPr="00A73ECA">
        <w:rPr>
          <w:rFonts w:ascii="Calibri" w:hAnsi="Calibri" w:cs="Calibri"/>
          <w:b/>
          <w:bCs/>
          <w:color w:val="002060"/>
        </w:rPr>
        <w:t>FMCG – branża równych płac.</w:t>
      </w:r>
    </w:p>
    <w:p w14:paraId="72F5CCD7" w14:textId="07A04031" w:rsidR="009E4A2D" w:rsidRPr="00A73ECA" w:rsidRDefault="009E4A2D" w:rsidP="00A73ECA">
      <w:pPr>
        <w:spacing w:after="160" w:line="276" w:lineRule="auto"/>
        <w:jc w:val="center"/>
        <w:rPr>
          <w:rFonts w:ascii="Calibri" w:hAnsi="Calibri" w:cs="Calibri"/>
          <w:b/>
          <w:bCs/>
          <w:color w:val="002060"/>
        </w:rPr>
      </w:pPr>
      <w:r w:rsidRPr="00A73ECA">
        <w:rPr>
          <w:rFonts w:ascii="Calibri" w:hAnsi="Calibri" w:cs="Calibri"/>
          <w:b/>
          <w:bCs/>
          <w:color w:val="002060"/>
        </w:rPr>
        <w:t>Kobiety i mężczyźni zarabiają tu podobnie</w:t>
      </w:r>
    </w:p>
    <w:p w14:paraId="426007C3" w14:textId="08B233C0" w:rsidR="00BD1B2E" w:rsidRPr="00A73ECA" w:rsidRDefault="009E4A2D" w:rsidP="00A73ECA">
      <w:pPr>
        <w:spacing w:after="160"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A73ECA">
        <w:rPr>
          <w:rFonts w:ascii="Calibri" w:hAnsi="Calibri" w:cs="Calibri"/>
          <w:b/>
          <w:bCs/>
          <w:color w:val="002060"/>
        </w:rPr>
        <w:t xml:space="preserve">W branży FMCG różnice płacowe pomiędzy kobietami a mężczyznami są minimalne – zarówno na umowach cywilnoprawnych, jak i etatowych – takie wnioski płyną z </w:t>
      </w:r>
      <w:r w:rsidR="00BD1B2E" w:rsidRPr="00A73ECA">
        <w:rPr>
          <w:rFonts w:ascii="Calibri" w:hAnsi="Calibri" w:cs="Calibri"/>
          <w:b/>
          <w:bCs/>
          <w:color w:val="002060"/>
        </w:rPr>
        <w:t xml:space="preserve">analiz danych </w:t>
      </w:r>
      <w:r w:rsidRPr="00A73ECA">
        <w:rPr>
          <w:rFonts w:ascii="Calibri" w:hAnsi="Calibri" w:cs="Calibri"/>
          <w:b/>
          <w:bCs/>
          <w:color w:val="002060"/>
        </w:rPr>
        <w:t xml:space="preserve">zgromadzonych przez Grupę Progres. </w:t>
      </w:r>
      <w:r w:rsidR="003F7186" w:rsidRPr="00A73ECA">
        <w:rPr>
          <w:rFonts w:ascii="Calibri" w:hAnsi="Calibri" w:cs="Calibri"/>
          <w:b/>
          <w:bCs/>
          <w:color w:val="002060"/>
        </w:rPr>
        <w:t>Różnice stawek godzinowych są niewielkie – wahają się od 8 do 23 groszy – i to na korzyść kobiet.</w:t>
      </w:r>
    </w:p>
    <w:p w14:paraId="47B2B5DA" w14:textId="41962346" w:rsidR="003F7186" w:rsidRPr="00A73ECA" w:rsidRDefault="003F7186" w:rsidP="00A73ECA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73ECA">
        <w:rPr>
          <w:rFonts w:ascii="Calibri" w:hAnsi="Calibri" w:cs="Calibri"/>
          <w:color w:val="002060"/>
        </w:rPr>
        <w:t>Analizy danych przeprowadzone przez Grupę Progres wskazują, że w sektorze FMCG różnice w wynagrodzeniach między kobietami a mężczyznami są niewielkie i uzależnione od formy zatrudnienia oraz wieku pracowników. W przypadku pensji miesięcznych panowie zarabiają przeciętnie więcej – różnice sięgają od około 130 do ponad 300 złotych na ich korzyść. Przykładowo, w grupie do 26 lat panie otrzymują przeciętnie 4535,35 zł brutto, natomiast panowie 4841,43 zł (306,08 zł różnicy). W kategorii wiekowej 27-30 lat dysproporcja wynosi 132,51 zł (kobiety: 4653,85 zł, mężczyźni: 4786,36 zł), a powyżej 30 lat – 189,77 zł (kobiety: 4611,75 zł, mężczyźni: 4801,52 zł).</w:t>
      </w:r>
    </w:p>
    <w:p w14:paraId="005D5961" w14:textId="78348E34" w:rsidR="003F7186" w:rsidRPr="00A73ECA" w:rsidRDefault="003F7186" w:rsidP="00A73ECA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73ECA">
        <w:rPr>
          <w:rFonts w:ascii="Calibri" w:hAnsi="Calibri" w:cs="Calibri"/>
          <w:color w:val="002060"/>
        </w:rPr>
        <w:t xml:space="preserve">Jednak w przypadku wynagrodzeń godzinowych sytuacja wygląda inaczej – kobiety w każdej z grup wiekowych zarabiają minimalnie więcej od mężczyzn, a różnice są niewielkie i mieszczą się w przedziale od 8 do 23 groszy na godzinę. W grupie do 26 lat panowie zarabiają średnio 23,43 zł, a panie 23,51 zł za godzinę, co oznacza przewagę 8 groszy na ich korzyść. </w:t>
      </w:r>
      <w:r w:rsidR="008307E7" w:rsidRPr="00A73ECA">
        <w:rPr>
          <w:rFonts w:ascii="Calibri" w:hAnsi="Calibri" w:cs="Calibri"/>
          <w:color w:val="002060"/>
        </w:rPr>
        <w:t>W przedziale 27-30 lat różnica wynosi 23 grosze, natomiast wśród pracowników powyżej 30 roku życia – 20 groszy za godzinę.</w:t>
      </w:r>
    </w:p>
    <w:p w14:paraId="31429375" w14:textId="74CF325F" w:rsidR="00BA7D2D" w:rsidRPr="00962919" w:rsidRDefault="00BA7D2D" w:rsidP="00BA7D2D">
      <w:pPr>
        <w:pStyle w:val="NormalnyWeb"/>
        <w:spacing w:line="276" w:lineRule="auto"/>
        <w:jc w:val="both"/>
        <w:rPr>
          <w:rFonts w:ascii="Calibri" w:hAnsi="Calibri" w:cs="Calibri"/>
          <w:i/>
          <w:iCs/>
          <w:color w:val="002060"/>
        </w:rPr>
      </w:pPr>
      <w:r w:rsidRPr="00CB4EB1">
        <w:rPr>
          <w:rFonts w:ascii="Calibri" w:hAnsi="Calibri" w:cs="Calibri"/>
          <w:color w:val="002060"/>
          <w:highlight w:val="yellow"/>
        </w:rPr>
        <w:t>–</w:t>
      </w:r>
      <w:r w:rsidRPr="00CB4EB1">
        <w:rPr>
          <w:rFonts w:ascii="Calibri" w:hAnsi="Calibri" w:cs="Calibri"/>
          <w:i/>
          <w:iCs/>
          <w:color w:val="002060"/>
          <w:highlight w:val="yellow"/>
        </w:rPr>
        <w:t xml:space="preserve"> Różnice w miesięcznych wynagrodzeniach – na korzyść – mężczyzn mogą wynikać przede wszystkim z czynników organizacyjnych i strukturalnych, które niekoniecznie mają bezpośredni związek z dyskryminacją płacową. Na przykład, panowie częściej mogą pracować w systemach z większą </w:t>
      </w:r>
      <w:r w:rsidRPr="00CB4EB1">
        <w:rPr>
          <w:rFonts w:ascii="Calibri" w:hAnsi="Calibri" w:cs="Calibri"/>
          <w:i/>
          <w:iCs/>
          <w:color w:val="002060"/>
          <w:highlight w:val="yellow"/>
        </w:rPr>
        <w:t>ilości</w:t>
      </w:r>
      <w:r w:rsidRPr="00CB4EB1">
        <w:rPr>
          <w:rFonts w:ascii="Calibri" w:hAnsi="Calibri" w:cs="Calibri"/>
          <w:i/>
          <w:iCs/>
          <w:color w:val="002060"/>
          <w:highlight w:val="yellow"/>
        </w:rPr>
        <w:t>ą godzin nadliczbowych, co przekłada się na</w:t>
      </w:r>
      <w:r w:rsidRPr="00CB4EB1">
        <w:rPr>
          <w:rFonts w:ascii="Calibri" w:hAnsi="Calibri" w:cs="Calibri"/>
          <w:i/>
          <w:iCs/>
          <w:color w:val="002060"/>
          <w:highlight w:val="yellow"/>
        </w:rPr>
        <w:t xml:space="preserve"> ich</w:t>
      </w:r>
      <w:r w:rsidRPr="00CB4EB1">
        <w:rPr>
          <w:rFonts w:ascii="Calibri" w:hAnsi="Calibri" w:cs="Calibri"/>
          <w:i/>
          <w:iCs/>
          <w:color w:val="002060"/>
          <w:highlight w:val="yellow"/>
        </w:rPr>
        <w:t xml:space="preserve"> wyższe miesięczne zarobki. </w:t>
      </w:r>
      <w:r w:rsidRPr="00CB4EB1">
        <w:rPr>
          <w:rFonts w:ascii="Calibri" w:hAnsi="Calibri" w:cs="Calibri"/>
          <w:i/>
          <w:iCs/>
          <w:color w:val="002060"/>
          <w:highlight w:val="yellow"/>
        </w:rPr>
        <w:t>Co więcej, b</w:t>
      </w:r>
      <w:r w:rsidRPr="00CB4EB1">
        <w:rPr>
          <w:rFonts w:ascii="Calibri" w:hAnsi="Calibri" w:cs="Calibri"/>
          <w:i/>
          <w:iCs/>
          <w:color w:val="002060"/>
          <w:highlight w:val="yellow"/>
        </w:rPr>
        <w:t>rak mężczyzn na stanowiskach podstawowych w sektorze FMCG sprawia, że są szczególnie pożądani i częściej mają możliwość przepracowania większej liczby roboczogodzin, co przekłada się na wyższe wynagrodzenia</w:t>
      </w:r>
      <w:r w:rsidR="00962919" w:rsidRPr="00CB4EB1">
        <w:rPr>
          <w:rFonts w:ascii="Calibri" w:hAnsi="Calibri" w:cs="Calibri"/>
          <w:i/>
          <w:iCs/>
          <w:color w:val="002060"/>
          <w:highlight w:val="yellow"/>
        </w:rPr>
        <w:t xml:space="preserve"> </w:t>
      </w:r>
      <w:r w:rsidR="00962919" w:rsidRPr="00CB4EB1">
        <w:rPr>
          <w:rFonts w:ascii="Calibri" w:hAnsi="Calibri" w:cs="Calibri"/>
          <w:color w:val="002060"/>
          <w:highlight w:val="yellow"/>
        </w:rPr>
        <w:t>–</w:t>
      </w:r>
      <w:r w:rsidR="00962919" w:rsidRPr="00A73ECA">
        <w:rPr>
          <w:rFonts w:ascii="Calibri" w:hAnsi="Calibri" w:cs="Calibri"/>
          <w:color w:val="002060"/>
        </w:rPr>
        <w:t xml:space="preserve"> </w:t>
      </w:r>
      <w:r w:rsidR="00962919" w:rsidRPr="00A73EC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mówi Iwona Wieczyńska, dyrektor regionu w Grupie </w:t>
      </w:r>
      <w:r w:rsidR="00962919" w:rsidRPr="00962919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Progres. </w:t>
      </w:r>
      <w:r w:rsidR="00962919" w:rsidRPr="00962919">
        <w:rPr>
          <w:rFonts w:ascii="Calibri" w:eastAsiaTheme="minorHAnsi" w:hAnsi="Calibri" w:cs="Calibri"/>
          <w:b/>
          <w:bCs/>
          <w:color w:val="002060"/>
          <w:lang w:eastAsia="en-US"/>
        </w:rPr>
        <w:t>I dodaje, że</w:t>
      </w:r>
      <w:r w:rsidR="00962919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962919" w:rsidRPr="00962919">
        <w:rPr>
          <w:rFonts w:ascii="Calibri" w:hAnsi="Calibri" w:cs="Calibri"/>
          <w:color w:val="002060"/>
        </w:rPr>
        <w:t>minimalnie wyższe stawki godzinowe dla kobiet wskazują na to, że podstawowe wynagrodzenie za jednostkę czasu pracy jest w dużej mierze wyrównane. To oznacza, że branża FMCG stara się zapewnić sprawiedliwe wynagrodzenia na poziomie podstawowych stawek, a różnice miesięczne wynikają raczej z indywidualnych czynników związanych z organizacją pracy i strukturą zatrudnienia. W efekcie można mówić o relatywnej równości płacowej, gdzie różnice są minimalne i często mają uzasadnienie poza samą płcią pracownika</w:t>
      </w:r>
      <w:r w:rsidR="00962919">
        <w:rPr>
          <w:rFonts w:ascii="Calibri" w:hAnsi="Calibri" w:cs="Calibri"/>
          <w:color w:val="002060"/>
        </w:rPr>
        <w:t>.</w:t>
      </w:r>
    </w:p>
    <w:p w14:paraId="15578B4C" w14:textId="62F6CDD0" w:rsidR="00BB6582" w:rsidRDefault="00A73ECA" w:rsidP="00BA7D2D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A73ECA">
        <w:rPr>
          <w:rFonts w:ascii="Calibri" w:hAnsi="Calibri" w:cs="Calibri"/>
          <w:color w:val="002060"/>
        </w:rPr>
        <w:lastRenderedPageBreak/>
        <w:t>Analiza wynagrodzeń w sektorze FMCG wskazuje, że rodzaj umowy — czy cywilnoprawna, czy o pracę — nie wpływa znacząco na poziom zarobków. Wynagrodzenia w obu formach zatrudnienia są zbliżone. Niezależnie od tego, czy pracownik zatrudniony jest na umowę o pracę, gwarantującą stabilność i świadczenia socjalne, czy na umowę cywilnoprawną, wynagrodzenie podstawowe pozostaje na porównywalnym poziomie. Dzięki temu sektor może poszczycić się relatywnie wyrównanym rynkiem pracy, w którym zarówno kobiety, jak i mężczyźni mają równy dostęp do uczciwego wynagrodzenia bez względu na typ podpisanej umowy.</w:t>
      </w:r>
    </w:p>
    <w:p w14:paraId="34A1EF9A" w14:textId="4BCC6A89" w:rsidR="00A73ECA" w:rsidRPr="00A73ECA" w:rsidRDefault="00A73ECA" w:rsidP="00A73ECA">
      <w:pPr>
        <w:spacing w:after="160" w:line="276" w:lineRule="auto"/>
        <w:jc w:val="both"/>
        <w:rPr>
          <w:rFonts w:ascii="Calibri" w:hAnsi="Calibri" w:cs="Calibri"/>
          <w:color w:val="002060"/>
        </w:rPr>
      </w:pPr>
      <w:r w:rsidRPr="00BA10E1">
        <w:rPr>
          <w:rFonts w:ascii="Calibri" w:hAnsi="Calibri" w:cs="Calibri"/>
          <w:color w:val="002060"/>
        </w:rPr>
        <w:t xml:space="preserve">– </w:t>
      </w:r>
      <w:r w:rsidRPr="00BA10E1">
        <w:rPr>
          <w:rFonts w:ascii="Calibri" w:hAnsi="Calibri" w:cs="Calibri"/>
          <w:i/>
          <w:iCs/>
          <w:color w:val="002060"/>
        </w:rPr>
        <w:t xml:space="preserve">Branża FMCG od lat uchodzi za rynek, który elastycznie reaguje na potrzeby pracowników, także w zakresie polityki wynagrodzeń. </w:t>
      </w:r>
      <w:r>
        <w:rPr>
          <w:rFonts w:ascii="Calibri" w:hAnsi="Calibri" w:cs="Calibri"/>
          <w:i/>
          <w:iCs/>
          <w:color w:val="002060"/>
        </w:rPr>
        <w:t xml:space="preserve">Nasze analizy </w:t>
      </w:r>
      <w:r w:rsidRPr="00BA10E1">
        <w:rPr>
          <w:rFonts w:ascii="Calibri" w:hAnsi="Calibri" w:cs="Calibri"/>
          <w:i/>
          <w:iCs/>
          <w:color w:val="002060"/>
        </w:rPr>
        <w:t xml:space="preserve">pokazują, że pod względem równości płacowej FMCG wyprzedza inne sektory i może być dla nich wzorem </w:t>
      </w:r>
      <w:r w:rsidRPr="00BA10E1">
        <w:rPr>
          <w:rFonts w:ascii="Calibri" w:hAnsi="Calibri" w:cs="Calibri"/>
          <w:color w:val="002060"/>
        </w:rPr>
        <w:t xml:space="preserve">– 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podkreśla </w:t>
      </w:r>
      <w:r w:rsidRPr="00A73ECA">
        <w:rPr>
          <w:rFonts w:ascii="Calibri" w:eastAsiaTheme="minorHAnsi" w:hAnsi="Calibri" w:cs="Calibri"/>
          <w:b/>
          <w:bCs/>
          <w:color w:val="002060"/>
          <w:lang w:eastAsia="en-US"/>
        </w:rPr>
        <w:t>Iwona Wieczyńska, dyrektor regionu w Grupie Progres</w:t>
      </w:r>
      <w:r>
        <w:rPr>
          <w:rFonts w:ascii="Calibri" w:hAnsi="Calibri" w:cs="Calibri"/>
          <w:b/>
          <w:bCs/>
          <w:color w:val="002060"/>
        </w:rPr>
        <w:t xml:space="preserve">. – </w:t>
      </w:r>
      <w:r w:rsidRPr="00A73ECA">
        <w:rPr>
          <w:rFonts w:ascii="Calibri" w:hAnsi="Calibri" w:cs="Calibri"/>
          <w:i/>
          <w:iCs/>
          <w:color w:val="002060"/>
        </w:rPr>
        <w:t>Wdrożenie podobnych rozwiązań w innych branżach może przynieść długofalowe korzyści zarówno pracownikom, jak i pracodawcom.</w:t>
      </w:r>
      <w:r>
        <w:rPr>
          <w:rFonts w:ascii="Calibri" w:hAnsi="Calibri" w:cs="Calibri"/>
          <w:i/>
          <w:iCs/>
          <w:color w:val="002060"/>
        </w:rPr>
        <w:t xml:space="preserve"> To już się dzieje, ale nadal tempo zmian pozostawia wiele do życzenia </w:t>
      </w:r>
      <w:r w:rsidRPr="00A73ECA">
        <w:rPr>
          <w:rFonts w:ascii="Calibri" w:hAnsi="Calibri" w:cs="Calibri"/>
          <w:b/>
          <w:bCs/>
          <w:color w:val="002060"/>
        </w:rPr>
        <w:t>– podsumowuje Iwona Wieczyńska.</w:t>
      </w:r>
      <w:r>
        <w:rPr>
          <w:rFonts w:ascii="Calibri" w:hAnsi="Calibri" w:cs="Calibri"/>
          <w:i/>
          <w:iCs/>
          <w:color w:val="002060"/>
        </w:rPr>
        <w:t xml:space="preserve"> </w:t>
      </w:r>
    </w:p>
    <w:p w14:paraId="44199DEE" w14:textId="2C965356" w:rsidR="00747364" w:rsidRPr="005C6EB2" w:rsidRDefault="00747364" w:rsidP="008D6BB0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1F1B41" w:themeColor="text1"/>
          <w:sz w:val="20"/>
          <w:szCs w:val="20"/>
        </w:rPr>
      </w:pPr>
      <w:r w:rsidRPr="005C6EB2">
        <w:rPr>
          <w:rFonts w:ascii="Calibri" w:hAnsi="Calibri" w:cs="Calibri"/>
          <w:color w:val="1F1B41" w:themeColor="text1"/>
          <w:sz w:val="20"/>
          <w:szCs w:val="20"/>
        </w:rPr>
        <w:t>***</w:t>
      </w:r>
    </w:p>
    <w:p w14:paraId="5FCF46E4" w14:textId="02DDC17E" w:rsidR="005C6EB2" w:rsidRPr="005C6EB2" w:rsidRDefault="005C6EB2" w:rsidP="005C6EB2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sz w:val="20"/>
          <w:szCs w:val="20"/>
          <w:lang w:eastAsia="en-US"/>
        </w:rPr>
      </w:pPr>
      <w:r w:rsidRPr="005C6EB2">
        <w:rPr>
          <w:rFonts w:ascii="Calibri" w:eastAsiaTheme="minorHAnsi" w:hAnsi="Calibri" w:cs="Calibri"/>
          <w:color w:val="002060"/>
          <w:sz w:val="20"/>
          <w:szCs w:val="20"/>
          <w:lang w:eastAsia="en-US"/>
        </w:rPr>
        <w:t xml:space="preserve">Analiza Grupy Progres została opracowana na podstawie danych płacowych dotyczących różnych form zatrudnienia w sektorze FMCG. Badanie uwzględniało zarówno umowy cywilnoprawne, jak i umowy o pracę, analizując wynagrodzenia brutto w podziale na grupy wiekowe oraz płeć. Łącznie przeanalizowano dane dotyczące ponad 27 000 umów, w tym m.in. 14 675 umów cywilnoprawnych (z czego 8 061 dla kobiet i 6 614 dla mężczyzn) oraz 5 520 umów o pracę (3 180 dla kobiet i 2 340 dla mężczyzn). Dzięki temu możliwe było dokładne porównanie stawek godzinowych i wynagrodzeń miesięcznych w różnych kategoriach demograficznych. </w:t>
      </w:r>
    </w:p>
    <w:p w14:paraId="43F8C2C9" w14:textId="571F1CA9" w:rsidR="003E1F86" w:rsidRPr="002830F7" w:rsidRDefault="003E1F86" w:rsidP="00ED3D9E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2830F7">
        <w:rPr>
          <w:rFonts w:asciiTheme="minorHAnsi" w:hAnsiTheme="minorHAnsi" w:cstheme="minorHAnsi"/>
          <w:color w:val="002060"/>
          <w:sz w:val="18"/>
          <w:szCs w:val="18"/>
        </w:rPr>
        <w:t>***</w:t>
      </w:r>
    </w:p>
    <w:p w14:paraId="3B1AE146" w14:textId="63E416EF" w:rsidR="009F1EDC" w:rsidRPr="002830F7" w:rsidRDefault="00E20A60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</w:pPr>
      <w:r w:rsidRPr="002830F7">
        <w:rPr>
          <w:rFonts w:asciiTheme="minorHAnsi" w:hAnsiTheme="minorHAnsi" w:cstheme="minorHAnsi"/>
          <w:b/>
          <w:bCs/>
          <w:color w:val="002060"/>
          <w:sz w:val="18"/>
          <w:szCs w:val="18"/>
          <w:shd w:val="clear" w:color="auto" w:fill="FFFFFF"/>
        </w:rPr>
        <w:t xml:space="preserve">Holding Grupy Progres 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>,</w:t>
      </w:r>
      <w:r w:rsidRPr="002830F7">
        <w:rPr>
          <w:rFonts w:asciiTheme="minorHAnsi" w:hAnsiTheme="minorHAnsi" w:cstheme="minorHAnsi"/>
          <w:color w:val="002060"/>
          <w:sz w:val="18"/>
          <w:szCs w:val="18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56E2D912" w14:textId="77777777" w:rsidR="009F1EDC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2567F060" w14:textId="77777777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</w:p>
    <w:p w14:paraId="2514AFF4" w14:textId="25AEF10B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360B3F">
        <w:rPr>
          <w:rFonts w:ascii="Calibri" w:hAnsi="Calibri" w:cs="Calibri"/>
          <w:color w:val="002060"/>
        </w:rPr>
        <w:t>Kamila Tyniec</w:t>
      </w:r>
      <w:r w:rsidR="009F1EDC">
        <w:rPr>
          <w:rFonts w:ascii="Calibri" w:hAnsi="Calibri" w:cs="Calibri"/>
          <w:color w:val="002060"/>
        </w:rPr>
        <w:t xml:space="preserve"> </w:t>
      </w:r>
    </w:p>
    <w:p w14:paraId="089A0EF4" w14:textId="0362B354" w:rsidR="00DF5583" w:rsidRPr="001C2858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1C2858">
        <w:rPr>
          <w:rFonts w:ascii="Calibri" w:hAnsi="Calibri" w:cs="Calibri"/>
          <w:color w:val="002060"/>
        </w:rPr>
        <w:t xml:space="preserve">e-mail: </w:t>
      </w:r>
      <w:hyperlink r:id="rId8" w:history="1">
        <w:r w:rsidRPr="001C2858">
          <w:rPr>
            <w:rStyle w:val="Hipercze"/>
            <w:rFonts w:ascii="Calibri" w:hAnsi="Calibri" w:cs="Calibri"/>
          </w:rPr>
          <w:t>k.tyniec@bepr.pl</w:t>
        </w:r>
      </w:hyperlink>
      <w:r w:rsidR="006D016D" w:rsidRPr="001C2858">
        <w:rPr>
          <w:rFonts w:ascii="Calibri" w:hAnsi="Calibri" w:cs="Calibri"/>
          <w:color w:val="002060"/>
        </w:rPr>
        <w:t xml:space="preserve"> </w:t>
      </w:r>
      <w:r w:rsidR="001C2858" w:rsidRPr="001C2858">
        <w:rPr>
          <w:rFonts w:ascii="Calibri" w:hAnsi="Calibri" w:cs="Calibri"/>
          <w:color w:val="002060"/>
        </w:rPr>
        <w:t xml:space="preserve">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9F1EDC">
        <w:rPr>
          <w:rFonts w:ascii="Calibri" w:hAnsi="Calibri" w:cs="Calibri"/>
          <w:color w:val="002060"/>
        </w:rPr>
        <w:t>+48 500 690 965</w:t>
      </w:r>
    </w:p>
    <w:sectPr w:rsidR="00DF5583" w:rsidRPr="001C2858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CBB0" w14:textId="77777777" w:rsidR="00AB3D68" w:rsidRDefault="00AB3D68" w:rsidP="00B332FF">
      <w:r>
        <w:separator/>
      </w:r>
    </w:p>
  </w:endnote>
  <w:endnote w:type="continuationSeparator" w:id="0">
    <w:p w14:paraId="7D785DB3" w14:textId="77777777" w:rsidR="00AB3D68" w:rsidRDefault="00AB3D68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AEB7" w14:textId="77777777" w:rsidR="00AB3D68" w:rsidRDefault="00AB3D68" w:rsidP="00B332FF">
      <w:r>
        <w:separator/>
      </w:r>
    </w:p>
  </w:footnote>
  <w:footnote w:type="continuationSeparator" w:id="0">
    <w:p w14:paraId="04FCD784" w14:textId="77777777" w:rsidR="00AB3D68" w:rsidRDefault="00AB3D68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604-01-00-389 ;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22D"/>
    <w:multiLevelType w:val="multilevel"/>
    <w:tmpl w:val="EFB2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93858"/>
    <w:multiLevelType w:val="multilevel"/>
    <w:tmpl w:val="941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8019D"/>
    <w:multiLevelType w:val="hybridMultilevel"/>
    <w:tmpl w:val="45B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C1B25"/>
    <w:multiLevelType w:val="hybridMultilevel"/>
    <w:tmpl w:val="1542EBDE"/>
    <w:lvl w:ilvl="0" w:tplc="5A40B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1B41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B51A4"/>
    <w:multiLevelType w:val="multilevel"/>
    <w:tmpl w:val="6A82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7E0429"/>
    <w:multiLevelType w:val="hybridMultilevel"/>
    <w:tmpl w:val="B3B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B5202"/>
    <w:multiLevelType w:val="hybridMultilevel"/>
    <w:tmpl w:val="CAF490D6"/>
    <w:lvl w:ilvl="0" w:tplc="50ECC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55F"/>
    <w:multiLevelType w:val="hybridMultilevel"/>
    <w:tmpl w:val="84F2C5DA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D6847"/>
    <w:multiLevelType w:val="multilevel"/>
    <w:tmpl w:val="6F1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3612269"/>
    <w:multiLevelType w:val="multilevel"/>
    <w:tmpl w:val="9DE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AA5826"/>
    <w:multiLevelType w:val="multilevel"/>
    <w:tmpl w:val="FE1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6"/>
  </w:num>
  <w:num w:numId="3" w16cid:durableId="1714769923">
    <w:abstractNumId w:val="28"/>
  </w:num>
  <w:num w:numId="4" w16cid:durableId="2081246455">
    <w:abstractNumId w:val="7"/>
  </w:num>
  <w:num w:numId="5" w16cid:durableId="1540320976">
    <w:abstractNumId w:val="27"/>
  </w:num>
  <w:num w:numId="6" w16cid:durableId="1414085053">
    <w:abstractNumId w:val="8"/>
  </w:num>
  <w:num w:numId="7" w16cid:durableId="1214734065">
    <w:abstractNumId w:val="30"/>
  </w:num>
  <w:num w:numId="8" w16cid:durableId="254291827">
    <w:abstractNumId w:val="3"/>
  </w:num>
  <w:num w:numId="9" w16cid:durableId="507403002">
    <w:abstractNumId w:val="2"/>
  </w:num>
  <w:num w:numId="10" w16cid:durableId="1902404399">
    <w:abstractNumId w:val="29"/>
  </w:num>
  <w:num w:numId="11" w16cid:durableId="1633288417">
    <w:abstractNumId w:val="21"/>
  </w:num>
  <w:num w:numId="12" w16cid:durableId="377634687">
    <w:abstractNumId w:val="18"/>
  </w:num>
  <w:num w:numId="13" w16cid:durableId="911044234">
    <w:abstractNumId w:val="15"/>
  </w:num>
  <w:num w:numId="14" w16cid:durableId="1137453245">
    <w:abstractNumId w:val="20"/>
  </w:num>
  <w:num w:numId="15" w16cid:durableId="470363962">
    <w:abstractNumId w:val="32"/>
  </w:num>
  <w:num w:numId="16" w16cid:durableId="1285700013">
    <w:abstractNumId w:val="13"/>
  </w:num>
  <w:num w:numId="17" w16cid:durableId="1133795825">
    <w:abstractNumId w:val="19"/>
  </w:num>
  <w:num w:numId="18" w16cid:durableId="1303537857">
    <w:abstractNumId w:val="17"/>
  </w:num>
  <w:num w:numId="19" w16cid:durableId="1926765156">
    <w:abstractNumId w:val="11"/>
  </w:num>
  <w:num w:numId="20" w16cid:durableId="485820784">
    <w:abstractNumId w:val="6"/>
  </w:num>
  <w:num w:numId="21" w16cid:durableId="1643384972">
    <w:abstractNumId w:val="0"/>
  </w:num>
  <w:num w:numId="22" w16cid:durableId="480119802">
    <w:abstractNumId w:val="10"/>
  </w:num>
  <w:num w:numId="23" w16cid:durableId="284967887">
    <w:abstractNumId w:val="9"/>
  </w:num>
  <w:num w:numId="24" w16cid:durableId="141629701">
    <w:abstractNumId w:val="4"/>
  </w:num>
  <w:num w:numId="25" w16cid:durableId="1708481862">
    <w:abstractNumId w:val="34"/>
  </w:num>
  <w:num w:numId="26" w16cid:durableId="1572809611">
    <w:abstractNumId w:val="14"/>
  </w:num>
  <w:num w:numId="27" w16cid:durableId="278342226">
    <w:abstractNumId w:val="25"/>
  </w:num>
  <w:num w:numId="28" w16cid:durableId="1076047496">
    <w:abstractNumId w:val="23"/>
  </w:num>
  <w:num w:numId="29" w16cid:durableId="832259406">
    <w:abstractNumId w:val="33"/>
  </w:num>
  <w:num w:numId="30" w16cid:durableId="1557543297">
    <w:abstractNumId w:val="5"/>
  </w:num>
  <w:num w:numId="31" w16cid:durableId="1412123822">
    <w:abstractNumId w:val="22"/>
  </w:num>
  <w:num w:numId="32" w16cid:durableId="160853862">
    <w:abstractNumId w:val="26"/>
  </w:num>
  <w:num w:numId="33" w16cid:durableId="418717840">
    <w:abstractNumId w:val="31"/>
  </w:num>
  <w:num w:numId="34" w16cid:durableId="793449720">
    <w:abstractNumId w:val="24"/>
  </w:num>
  <w:num w:numId="35" w16cid:durableId="1921525486">
    <w:abstractNumId w:val="12"/>
  </w:num>
  <w:num w:numId="36" w16cid:durableId="119033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166C0"/>
    <w:rsid w:val="000204C6"/>
    <w:rsid w:val="00021EE9"/>
    <w:rsid w:val="00022B0F"/>
    <w:rsid w:val="0002710A"/>
    <w:rsid w:val="000279FC"/>
    <w:rsid w:val="00027D1D"/>
    <w:rsid w:val="000302FF"/>
    <w:rsid w:val="00030344"/>
    <w:rsid w:val="00034974"/>
    <w:rsid w:val="00036102"/>
    <w:rsid w:val="0003646B"/>
    <w:rsid w:val="0004097E"/>
    <w:rsid w:val="000426D5"/>
    <w:rsid w:val="0004544B"/>
    <w:rsid w:val="0005083D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45D5"/>
    <w:rsid w:val="00074B37"/>
    <w:rsid w:val="000802A6"/>
    <w:rsid w:val="00080CD1"/>
    <w:rsid w:val="0008182C"/>
    <w:rsid w:val="0008478A"/>
    <w:rsid w:val="00085F74"/>
    <w:rsid w:val="000902C0"/>
    <w:rsid w:val="000924FC"/>
    <w:rsid w:val="000A1C28"/>
    <w:rsid w:val="000A3077"/>
    <w:rsid w:val="000A3552"/>
    <w:rsid w:val="000A6C87"/>
    <w:rsid w:val="000A7734"/>
    <w:rsid w:val="000B2757"/>
    <w:rsid w:val="000B2884"/>
    <w:rsid w:val="000B373F"/>
    <w:rsid w:val="000C0681"/>
    <w:rsid w:val="000C3270"/>
    <w:rsid w:val="000C348A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105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249"/>
    <w:rsid w:val="00165D83"/>
    <w:rsid w:val="001678BC"/>
    <w:rsid w:val="00170E88"/>
    <w:rsid w:val="00172852"/>
    <w:rsid w:val="00180C30"/>
    <w:rsid w:val="00180F6C"/>
    <w:rsid w:val="001834B1"/>
    <w:rsid w:val="00186403"/>
    <w:rsid w:val="001869A6"/>
    <w:rsid w:val="00190903"/>
    <w:rsid w:val="00192A33"/>
    <w:rsid w:val="0019352E"/>
    <w:rsid w:val="001944AA"/>
    <w:rsid w:val="00194540"/>
    <w:rsid w:val="00196A38"/>
    <w:rsid w:val="001A077B"/>
    <w:rsid w:val="001A1BCB"/>
    <w:rsid w:val="001A3B60"/>
    <w:rsid w:val="001A3CF1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558"/>
    <w:rsid w:val="001C074B"/>
    <w:rsid w:val="001C2858"/>
    <w:rsid w:val="001C5671"/>
    <w:rsid w:val="001C6A76"/>
    <w:rsid w:val="001D0185"/>
    <w:rsid w:val="001D06ED"/>
    <w:rsid w:val="001D2D28"/>
    <w:rsid w:val="001D35E3"/>
    <w:rsid w:val="001D50C9"/>
    <w:rsid w:val="001D67B4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3FDE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42C4"/>
    <w:rsid w:val="00237181"/>
    <w:rsid w:val="00237E0C"/>
    <w:rsid w:val="00240AE2"/>
    <w:rsid w:val="00241CDE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513E"/>
    <w:rsid w:val="00276CE6"/>
    <w:rsid w:val="0027776A"/>
    <w:rsid w:val="00280B72"/>
    <w:rsid w:val="002830F7"/>
    <w:rsid w:val="00286E1F"/>
    <w:rsid w:val="0028720F"/>
    <w:rsid w:val="00293D11"/>
    <w:rsid w:val="0029614E"/>
    <w:rsid w:val="00296C98"/>
    <w:rsid w:val="00296D40"/>
    <w:rsid w:val="002A0C91"/>
    <w:rsid w:val="002A1444"/>
    <w:rsid w:val="002A3BAD"/>
    <w:rsid w:val="002A406D"/>
    <w:rsid w:val="002A5441"/>
    <w:rsid w:val="002A6884"/>
    <w:rsid w:val="002A6F1A"/>
    <w:rsid w:val="002A7538"/>
    <w:rsid w:val="002B0703"/>
    <w:rsid w:val="002B07B8"/>
    <w:rsid w:val="002B2936"/>
    <w:rsid w:val="002B550C"/>
    <w:rsid w:val="002B6D71"/>
    <w:rsid w:val="002C19BC"/>
    <w:rsid w:val="002C295A"/>
    <w:rsid w:val="002C7FCC"/>
    <w:rsid w:val="002D06AC"/>
    <w:rsid w:val="002D14F1"/>
    <w:rsid w:val="002E1DA6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37319"/>
    <w:rsid w:val="003414F1"/>
    <w:rsid w:val="0034328E"/>
    <w:rsid w:val="00345ECE"/>
    <w:rsid w:val="00346619"/>
    <w:rsid w:val="003517F9"/>
    <w:rsid w:val="00352BFB"/>
    <w:rsid w:val="00353D63"/>
    <w:rsid w:val="00354CB2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3943"/>
    <w:rsid w:val="00364942"/>
    <w:rsid w:val="00365CAD"/>
    <w:rsid w:val="00367362"/>
    <w:rsid w:val="0036739B"/>
    <w:rsid w:val="0037027A"/>
    <w:rsid w:val="003708EF"/>
    <w:rsid w:val="00371CCA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B758A"/>
    <w:rsid w:val="003C022A"/>
    <w:rsid w:val="003C2703"/>
    <w:rsid w:val="003C2B95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3F7186"/>
    <w:rsid w:val="00400D52"/>
    <w:rsid w:val="004018D5"/>
    <w:rsid w:val="00402361"/>
    <w:rsid w:val="00403851"/>
    <w:rsid w:val="004062B8"/>
    <w:rsid w:val="004104E2"/>
    <w:rsid w:val="00410C6C"/>
    <w:rsid w:val="00412ABA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47B09"/>
    <w:rsid w:val="004502E9"/>
    <w:rsid w:val="00451035"/>
    <w:rsid w:val="00451DF4"/>
    <w:rsid w:val="00460C94"/>
    <w:rsid w:val="00461C45"/>
    <w:rsid w:val="00463167"/>
    <w:rsid w:val="00465B97"/>
    <w:rsid w:val="00470A1B"/>
    <w:rsid w:val="00470A22"/>
    <w:rsid w:val="00476C4A"/>
    <w:rsid w:val="004774D8"/>
    <w:rsid w:val="00477A42"/>
    <w:rsid w:val="004815B8"/>
    <w:rsid w:val="00481951"/>
    <w:rsid w:val="00494103"/>
    <w:rsid w:val="00495EC6"/>
    <w:rsid w:val="004972D7"/>
    <w:rsid w:val="00497D22"/>
    <w:rsid w:val="004A232B"/>
    <w:rsid w:val="004A2351"/>
    <w:rsid w:val="004A2A29"/>
    <w:rsid w:val="004A2B2A"/>
    <w:rsid w:val="004A445E"/>
    <w:rsid w:val="004A54CF"/>
    <w:rsid w:val="004B1707"/>
    <w:rsid w:val="004B7E12"/>
    <w:rsid w:val="004C1449"/>
    <w:rsid w:val="004C681F"/>
    <w:rsid w:val="004D02EB"/>
    <w:rsid w:val="004D70D3"/>
    <w:rsid w:val="004E09FB"/>
    <w:rsid w:val="004E1D24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17F2C"/>
    <w:rsid w:val="00521ECD"/>
    <w:rsid w:val="0052476B"/>
    <w:rsid w:val="005262E5"/>
    <w:rsid w:val="0053033B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0ECF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6EB2"/>
    <w:rsid w:val="005C7553"/>
    <w:rsid w:val="005D0E64"/>
    <w:rsid w:val="005D1823"/>
    <w:rsid w:val="005D1E6D"/>
    <w:rsid w:val="005D25B5"/>
    <w:rsid w:val="005D39B9"/>
    <w:rsid w:val="005D502B"/>
    <w:rsid w:val="005D56D5"/>
    <w:rsid w:val="005E217E"/>
    <w:rsid w:val="005E3401"/>
    <w:rsid w:val="005E3537"/>
    <w:rsid w:val="005F355A"/>
    <w:rsid w:val="005F5E11"/>
    <w:rsid w:val="005F6596"/>
    <w:rsid w:val="005F7D58"/>
    <w:rsid w:val="00600A66"/>
    <w:rsid w:val="00606CAA"/>
    <w:rsid w:val="006110BF"/>
    <w:rsid w:val="006130CC"/>
    <w:rsid w:val="006144DB"/>
    <w:rsid w:val="00615C30"/>
    <w:rsid w:val="00617839"/>
    <w:rsid w:val="00617A45"/>
    <w:rsid w:val="006206B8"/>
    <w:rsid w:val="00622393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2A70"/>
    <w:rsid w:val="00634F14"/>
    <w:rsid w:val="0064167D"/>
    <w:rsid w:val="00643689"/>
    <w:rsid w:val="006450DC"/>
    <w:rsid w:val="006459F8"/>
    <w:rsid w:val="00651118"/>
    <w:rsid w:val="00653AA2"/>
    <w:rsid w:val="0065583E"/>
    <w:rsid w:val="00657513"/>
    <w:rsid w:val="0066106B"/>
    <w:rsid w:val="00662504"/>
    <w:rsid w:val="006642A2"/>
    <w:rsid w:val="00664495"/>
    <w:rsid w:val="00664D61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2CE"/>
    <w:rsid w:val="006D6514"/>
    <w:rsid w:val="006D652A"/>
    <w:rsid w:val="006D6FC0"/>
    <w:rsid w:val="006E1DD8"/>
    <w:rsid w:val="006E38A9"/>
    <w:rsid w:val="006E41A7"/>
    <w:rsid w:val="006E57A4"/>
    <w:rsid w:val="006E657F"/>
    <w:rsid w:val="006F0E35"/>
    <w:rsid w:val="006F377D"/>
    <w:rsid w:val="00700040"/>
    <w:rsid w:val="007011C7"/>
    <w:rsid w:val="0070165E"/>
    <w:rsid w:val="00701684"/>
    <w:rsid w:val="00702611"/>
    <w:rsid w:val="00707193"/>
    <w:rsid w:val="007104E2"/>
    <w:rsid w:val="00710D44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364"/>
    <w:rsid w:val="00747C7C"/>
    <w:rsid w:val="007508C7"/>
    <w:rsid w:val="007520B9"/>
    <w:rsid w:val="00752FA8"/>
    <w:rsid w:val="00753078"/>
    <w:rsid w:val="00753BC7"/>
    <w:rsid w:val="00754944"/>
    <w:rsid w:val="007565E2"/>
    <w:rsid w:val="00760728"/>
    <w:rsid w:val="0076091F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3EB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9C4"/>
    <w:rsid w:val="007E4E0D"/>
    <w:rsid w:val="007E5349"/>
    <w:rsid w:val="007E5F53"/>
    <w:rsid w:val="007F0262"/>
    <w:rsid w:val="007F0D5A"/>
    <w:rsid w:val="007F2FA0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40F1"/>
    <w:rsid w:val="008156D6"/>
    <w:rsid w:val="00817FDF"/>
    <w:rsid w:val="0082049F"/>
    <w:rsid w:val="00821C18"/>
    <w:rsid w:val="00824569"/>
    <w:rsid w:val="008307E7"/>
    <w:rsid w:val="00835696"/>
    <w:rsid w:val="008375C6"/>
    <w:rsid w:val="00840053"/>
    <w:rsid w:val="00842A01"/>
    <w:rsid w:val="008464B2"/>
    <w:rsid w:val="00846A3A"/>
    <w:rsid w:val="00847211"/>
    <w:rsid w:val="00851356"/>
    <w:rsid w:val="008561D1"/>
    <w:rsid w:val="00856A9E"/>
    <w:rsid w:val="00873462"/>
    <w:rsid w:val="008738BB"/>
    <w:rsid w:val="00874F3D"/>
    <w:rsid w:val="0087508A"/>
    <w:rsid w:val="008777F9"/>
    <w:rsid w:val="0088277C"/>
    <w:rsid w:val="0089087A"/>
    <w:rsid w:val="00891AB5"/>
    <w:rsid w:val="00893008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D6BB0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1B5D"/>
    <w:rsid w:val="00902789"/>
    <w:rsid w:val="00902AA9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2919"/>
    <w:rsid w:val="009646A6"/>
    <w:rsid w:val="009660F1"/>
    <w:rsid w:val="00966636"/>
    <w:rsid w:val="0097356E"/>
    <w:rsid w:val="00974C5D"/>
    <w:rsid w:val="009772E6"/>
    <w:rsid w:val="00981EC9"/>
    <w:rsid w:val="00982A64"/>
    <w:rsid w:val="009833BE"/>
    <w:rsid w:val="00990859"/>
    <w:rsid w:val="00995675"/>
    <w:rsid w:val="009970FB"/>
    <w:rsid w:val="0099771C"/>
    <w:rsid w:val="009A19B2"/>
    <w:rsid w:val="009A75F4"/>
    <w:rsid w:val="009B0463"/>
    <w:rsid w:val="009B0870"/>
    <w:rsid w:val="009B155A"/>
    <w:rsid w:val="009B24DF"/>
    <w:rsid w:val="009B302C"/>
    <w:rsid w:val="009B4C51"/>
    <w:rsid w:val="009B5B52"/>
    <w:rsid w:val="009B6CD0"/>
    <w:rsid w:val="009C23BE"/>
    <w:rsid w:val="009C2D4E"/>
    <w:rsid w:val="009C4B27"/>
    <w:rsid w:val="009C5266"/>
    <w:rsid w:val="009D1B54"/>
    <w:rsid w:val="009D3599"/>
    <w:rsid w:val="009D366C"/>
    <w:rsid w:val="009D40F6"/>
    <w:rsid w:val="009D5E45"/>
    <w:rsid w:val="009E2FF4"/>
    <w:rsid w:val="009E3FFD"/>
    <w:rsid w:val="009E4A2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2F49"/>
    <w:rsid w:val="00A54E3D"/>
    <w:rsid w:val="00A56124"/>
    <w:rsid w:val="00A57925"/>
    <w:rsid w:val="00A6020E"/>
    <w:rsid w:val="00A60263"/>
    <w:rsid w:val="00A60A59"/>
    <w:rsid w:val="00A636C7"/>
    <w:rsid w:val="00A646C9"/>
    <w:rsid w:val="00A67D86"/>
    <w:rsid w:val="00A7049D"/>
    <w:rsid w:val="00A709DE"/>
    <w:rsid w:val="00A715B4"/>
    <w:rsid w:val="00A73ECA"/>
    <w:rsid w:val="00A7450D"/>
    <w:rsid w:val="00A755A5"/>
    <w:rsid w:val="00A803E6"/>
    <w:rsid w:val="00A853E8"/>
    <w:rsid w:val="00A87B27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68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3505"/>
    <w:rsid w:val="00B03F42"/>
    <w:rsid w:val="00B04307"/>
    <w:rsid w:val="00B05E2E"/>
    <w:rsid w:val="00B073A6"/>
    <w:rsid w:val="00B12C84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479AE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647"/>
    <w:rsid w:val="00B7596F"/>
    <w:rsid w:val="00B75DA6"/>
    <w:rsid w:val="00B80899"/>
    <w:rsid w:val="00B81D6B"/>
    <w:rsid w:val="00B86506"/>
    <w:rsid w:val="00B86ACB"/>
    <w:rsid w:val="00B87DA2"/>
    <w:rsid w:val="00B87EB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3F4B"/>
    <w:rsid w:val="00BA67B3"/>
    <w:rsid w:val="00BA7A9F"/>
    <w:rsid w:val="00BA7D2D"/>
    <w:rsid w:val="00BB0821"/>
    <w:rsid w:val="00BB2AB9"/>
    <w:rsid w:val="00BB6582"/>
    <w:rsid w:val="00BB6D0E"/>
    <w:rsid w:val="00BB6D37"/>
    <w:rsid w:val="00BC0B37"/>
    <w:rsid w:val="00BC2623"/>
    <w:rsid w:val="00BC2D7D"/>
    <w:rsid w:val="00BC4AB3"/>
    <w:rsid w:val="00BD09D7"/>
    <w:rsid w:val="00BD0BB6"/>
    <w:rsid w:val="00BD1B2E"/>
    <w:rsid w:val="00BD2950"/>
    <w:rsid w:val="00BD6055"/>
    <w:rsid w:val="00BE0EF4"/>
    <w:rsid w:val="00BE1ABD"/>
    <w:rsid w:val="00BE1E7E"/>
    <w:rsid w:val="00BE1F69"/>
    <w:rsid w:val="00BE280F"/>
    <w:rsid w:val="00BE3F59"/>
    <w:rsid w:val="00BE5172"/>
    <w:rsid w:val="00BE6A37"/>
    <w:rsid w:val="00BE6C2A"/>
    <w:rsid w:val="00BE7867"/>
    <w:rsid w:val="00BE7AC1"/>
    <w:rsid w:val="00BF080B"/>
    <w:rsid w:val="00BF210F"/>
    <w:rsid w:val="00BF3359"/>
    <w:rsid w:val="00BF789C"/>
    <w:rsid w:val="00BF7B28"/>
    <w:rsid w:val="00C0117C"/>
    <w:rsid w:val="00C029DA"/>
    <w:rsid w:val="00C02AE9"/>
    <w:rsid w:val="00C02B8C"/>
    <w:rsid w:val="00C05320"/>
    <w:rsid w:val="00C068CE"/>
    <w:rsid w:val="00C11EEA"/>
    <w:rsid w:val="00C12FEF"/>
    <w:rsid w:val="00C21316"/>
    <w:rsid w:val="00C22A96"/>
    <w:rsid w:val="00C23075"/>
    <w:rsid w:val="00C259ED"/>
    <w:rsid w:val="00C25FAF"/>
    <w:rsid w:val="00C2780E"/>
    <w:rsid w:val="00C30652"/>
    <w:rsid w:val="00C314F7"/>
    <w:rsid w:val="00C31B67"/>
    <w:rsid w:val="00C31FA6"/>
    <w:rsid w:val="00C32699"/>
    <w:rsid w:val="00C3641C"/>
    <w:rsid w:val="00C37D47"/>
    <w:rsid w:val="00C40E38"/>
    <w:rsid w:val="00C43E70"/>
    <w:rsid w:val="00C45C6B"/>
    <w:rsid w:val="00C467A0"/>
    <w:rsid w:val="00C47088"/>
    <w:rsid w:val="00C4774C"/>
    <w:rsid w:val="00C50E5D"/>
    <w:rsid w:val="00C5121F"/>
    <w:rsid w:val="00C573E7"/>
    <w:rsid w:val="00C60A32"/>
    <w:rsid w:val="00C6105B"/>
    <w:rsid w:val="00C612B4"/>
    <w:rsid w:val="00C703CA"/>
    <w:rsid w:val="00C72A81"/>
    <w:rsid w:val="00C81B78"/>
    <w:rsid w:val="00C852BE"/>
    <w:rsid w:val="00C8535E"/>
    <w:rsid w:val="00C86CB8"/>
    <w:rsid w:val="00C918FF"/>
    <w:rsid w:val="00C92005"/>
    <w:rsid w:val="00C93D2F"/>
    <w:rsid w:val="00C94633"/>
    <w:rsid w:val="00C94678"/>
    <w:rsid w:val="00C9579D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B4EB1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0F5"/>
    <w:rsid w:val="00CE7D89"/>
    <w:rsid w:val="00CF105F"/>
    <w:rsid w:val="00CF148D"/>
    <w:rsid w:val="00CF5DC3"/>
    <w:rsid w:val="00CF635D"/>
    <w:rsid w:val="00CF6432"/>
    <w:rsid w:val="00CF778E"/>
    <w:rsid w:val="00D042CF"/>
    <w:rsid w:val="00D0685D"/>
    <w:rsid w:val="00D06C42"/>
    <w:rsid w:val="00D07E15"/>
    <w:rsid w:val="00D10A6F"/>
    <w:rsid w:val="00D12CC8"/>
    <w:rsid w:val="00D12EAA"/>
    <w:rsid w:val="00D20821"/>
    <w:rsid w:val="00D24642"/>
    <w:rsid w:val="00D27155"/>
    <w:rsid w:val="00D312DE"/>
    <w:rsid w:val="00D345FF"/>
    <w:rsid w:val="00D3498E"/>
    <w:rsid w:val="00D35127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6C8"/>
    <w:rsid w:val="00D81D2B"/>
    <w:rsid w:val="00D83B31"/>
    <w:rsid w:val="00D9195B"/>
    <w:rsid w:val="00D97599"/>
    <w:rsid w:val="00DA10B6"/>
    <w:rsid w:val="00DA5E25"/>
    <w:rsid w:val="00DA6C2E"/>
    <w:rsid w:val="00DA7433"/>
    <w:rsid w:val="00DA7E1B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3317"/>
    <w:rsid w:val="00DF5583"/>
    <w:rsid w:val="00E00EFD"/>
    <w:rsid w:val="00E017EC"/>
    <w:rsid w:val="00E03C52"/>
    <w:rsid w:val="00E05548"/>
    <w:rsid w:val="00E07EAA"/>
    <w:rsid w:val="00E123DB"/>
    <w:rsid w:val="00E13B3B"/>
    <w:rsid w:val="00E153CB"/>
    <w:rsid w:val="00E161BE"/>
    <w:rsid w:val="00E16B37"/>
    <w:rsid w:val="00E17DEF"/>
    <w:rsid w:val="00E20A60"/>
    <w:rsid w:val="00E22054"/>
    <w:rsid w:val="00E22159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15D1"/>
    <w:rsid w:val="00E63EE8"/>
    <w:rsid w:val="00E65520"/>
    <w:rsid w:val="00E66EC5"/>
    <w:rsid w:val="00E671BC"/>
    <w:rsid w:val="00E708B5"/>
    <w:rsid w:val="00E721E2"/>
    <w:rsid w:val="00E72F0A"/>
    <w:rsid w:val="00E750A6"/>
    <w:rsid w:val="00E75255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A6400"/>
    <w:rsid w:val="00EB05AE"/>
    <w:rsid w:val="00EB14B7"/>
    <w:rsid w:val="00EB3A78"/>
    <w:rsid w:val="00EB3A8F"/>
    <w:rsid w:val="00EB52F7"/>
    <w:rsid w:val="00EC09DE"/>
    <w:rsid w:val="00EC0CCA"/>
    <w:rsid w:val="00EC3516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3D9E"/>
    <w:rsid w:val="00ED62E3"/>
    <w:rsid w:val="00ED73F3"/>
    <w:rsid w:val="00ED7494"/>
    <w:rsid w:val="00EE292E"/>
    <w:rsid w:val="00EE6B69"/>
    <w:rsid w:val="00EF1D20"/>
    <w:rsid w:val="00EF2873"/>
    <w:rsid w:val="00EF62CE"/>
    <w:rsid w:val="00EF6665"/>
    <w:rsid w:val="00EF775C"/>
    <w:rsid w:val="00F1211C"/>
    <w:rsid w:val="00F125CF"/>
    <w:rsid w:val="00F13302"/>
    <w:rsid w:val="00F155B4"/>
    <w:rsid w:val="00F23080"/>
    <w:rsid w:val="00F23E5F"/>
    <w:rsid w:val="00F2485C"/>
    <w:rsid w:val="00F24D13"/>
    <w:rsid w:val="00F2796A"/>
    <w:rsid w:val="00F27EC4"/>
    <w:rsid w:val="00F302ED"/>
    <w:rsid w:val="00F30619"/>
    <w:rsid w:val="00F34F1F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371"/>
    <w:rsid w:val="00F51440"/>
    <w:rsid w:val="00F51979"/>
    <w:rsid w:val="00F52FD7"/>
    <w:rsid w:val="00F54BC8"/>
    <w:rsid w:val="00F60908"/>
    <w:rsid w:val="00F60D97"/>
    <w:rsid w:val="00F639C0"/>
    <w:rsid w:val="00F64107"/>
    <w:rsid w:val="00F659AF"/>
    <w:rsid w:val="00F65DE7"/>
    <w:rsid w:val="00F66B73"/>
    <w:rsid w:val="00F66F24"/>
    <w:rsid w:val="00F71282"/>
    <w:rsid w:val="00F720F8"/>
    <w:rsid w:val="00F729B6"/>
    <w:rsid w:val="00F73776"/>
    <w:rsid w:val="00F74241"/>
    <w:rsid w:val="00F743A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A62BE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3CC6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639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2342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63943"/>
    <w:rPr>
      <w:rFonts w:asciiTheme="majorHAnsi" w:eastAsiaTheme="majorEastAsia" w:hAnsiTheme="majorHAnsi" w:cstheme="majorBidi"/>
      <w:color w:val="522342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9</cp:revision>
  <cp:lastPrinted>2025-06-09T08:32:00Z</cp:lastPrinted>
  <dcterms:created xsi:type="dcterms:W3CDTF">2025-06-11T05:22:00Z</dcterms:created>
  <dcterms:modified xsi:type="dcterms:W3CDTF">2025-06-16T09:13:00Z</dcterms:modified>
</cp:coreProperties>
</file>