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383D" w14:textId="77777777" w:rsidR="0069216C" w:rsidRPr="00863E63" w:rsidRDefault="0069216C" w:rsidP="00825BA4">
      <w:pPr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60370D33" w14:textId="11F7B501" w:rsidR="00E82648" w:rsidRPr="00863E63" w:rsidRDefault="006A3BB8" w:rsidP="00AC0F7F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63E63">
        <w:rPr>
          <w:rFonts w:asciiTheme="minorHAnsi" w:hAnsiTheme="minorHAnsi" w:cstheme="minorHAnsi"/>
          <w:color w:val="002060"/>
          <w:sz w:val="22"/>
          <w:szCs w:val="22"/>
          <w:u w:val="single"/>
        </w:rPr>
        <w:t>Informacja prasowa</w:t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AC0F7F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31</w:t>
      </w:r>
      <w:r w:rsidR="003B442D" w:rsidRPr="00863E63">
        <w:rPr>
          <w:rFonts w:asciiTheme="minorHAnsi" w:hAnsiTheme="minorHAnsi" w:cstheme="minorHAnsi"/>
          <w:color w:val="002060"/>
          <w:sz w:val="22"/>
          <w:szCs w:val="22"/>
        </w:rPr>
        <w:t xml:space="preserve"> stycznia 2023</w:t>
      </w:r>
      <w:r w:rsidR="00370E5A" w:rsidRPr="00863E63">
        <w:rPr>
          <w:rFonts w:asciiTheme="minorHAnsi" w:hAnsiTheme="minorHAnsi" w:cstheme="minorHAnsi"/>
          <w:color w:val="002060"/>
          <w:sz w:val="22"/>
          <w:szCs w:val="22"/>
        </w:rPr>
        <w:t>, Gdańsk</w:t>
      </w:r>
    </w:p>
    <w:p w14:paraId="28B814E7" w14:textId="77777777" w:rsidR="0069216C" w:rsidRPr="00863E63" w:rsidRDefault="0069216C" w:rsidP="0069216C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</w:pPr>
    </w:p>
    <w:p w14:paraId="5F2BD044" w14:textId="0CA0329A" w:rsidR="00AC0F7F" w:rsidRPr="00AC0F7F" w:rsidRDefault="00AC0F7F" w:rsidP="00AC0F7F">
      <w:pPr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AC0F7F">
        <w:rPr>
          <w:rFonts w:asciiTheme="minorHAnsi" w:hAnsiTheme="minorHAnsi" w:cstheme="minorHAnsi"/>
          <w:b/>
          <w:bCs/>
          <w:color w:val="002060"/>
          <w:sz w:val="28"/>
          <w:szCs w:val="28"/>
        </w:rPr>
        <w:t>Pierwsza wypłata po podwyżce płacy minimalnej – k</w:t>
      </w:r>
      <w:r w:rsidR="003A3738">
        <w:rPr>
          <w:rFonts w:asciiTheme="minorHAnsi" w:hAnsiTheme="minorHAnsi" w:cstheme="minorHAnsi"/>
          <w:b/>
          <w:bCs/>
          <w:color w:val="002060"/>
          <w:sz w:val="28"/>
          <w:szCs w:val="28"/>
        </w:rPr>
        <w:t>t</w:t>
      </w:r>
      <w:r w:rsidRPr="00AC0F7F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o faktycznie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zarobił więcej</w:t>
      </w:r>
      <w:r w:rsidRPr="00AC0F7F">
        <w:rPr>
          <w:rFonts w:asciiTheme="minorHAnsi" w:hAnsiTheme="minorHAnsi" w:cstheme="minorHAnsi"/>
          <w:b/>
          <w:bCs/>
          <w:color w:val="002060"/>
          <w:sz w:val="28"/>
          <w:szCs w:val="28"/>
        </w:rPr>
        <w:t>?</w:t>
      </w:r>
    </w:p>
    <w:p w14:paraId="3CFC9D22" w14:textId="77777777" w:rsidR="003B442D" w:rsidRPr="00863E63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66C2876B" w14:textId="0690E3E1" w:rsidR="00AC0F7F" w:rsidRPr="00066E85" w:rsidRDefault="00AC0F7F" w:rsidP="00AC0F7F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Styczeń to pierwszy z dwóch miesięcy, w których osoby otrzymujące minimalne wynagrodzenie, zarobią więcej. Wielu pracowników otrzyma wyższe wypłaty, ale nie wszyscy. Obowiązkowa podwyżka dotyczy bowiem tych, których pensje zasadnicze i wypłacane wraz z nim inne dodatki (np. premie, nagrody) w sumie nie wyniosą minimum (3.490,00</w:t>
      </w:r>
      <w:r w:rsidR="00246E43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zł lub 22,80</w:t>
      </w:r>
      <w:r w:rsidR="00246E43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zł/h). Ilu pracowników zatem faktycznie dotyczy podwyżka?</w:t>
      </w:r>
    </w:p>
    <w:p w14:paraId="3D9EF5DA" w14:textId="164A8789" w:rsidR="00066E85" w:rsidRPr="00066E85" w:rsidRDefault="00066E85" w:rsidP="00AC0F7F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683B4C1" w14:textId="77777777" w:rsidR="00066E85" w:rsidRPr="00066E85" w:rsidRDefault="00066E85" w:rsidP="00066E8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2060"/>
        </w:rPr>
      </w:pPr>
      <w:r w:rsidRPr="00066E85">
        <w:rPr>
          <w:rFonts w:asciiTheme="minorHAnsi" w:hAnsiTheme="minorHAnsi" w:cstheme="minorHAnsi"/>
          <w:color w:val="002060"/>
        </w:rPr>
        <w:t>Minimalne wynagrodzenie w Polsce otrzymuje 1,5 mln pracowników (GUS).</w:t>
      </w:r>
    </w:p>
    <w:p w14:paraId="25BA25D5" w14:textId="79B083CC" w:rsidR="00066E85" w:rsidRPr="00066E85" w:rsidRDefault="00066E85" w:rsidP="00066E8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2060"/>
        </w:rPr>
      </w:pPr>
      <w:r w:rsidRPr="00066E85">
        <w:rPr>
          <w:rFonts w:asciiTheme="minorHAnsi" w:hAnsiTheme="minorHAnsi" w:cstheme="minorHAnsi"/>
          <w:color w:val="002060"/>
        </w:rPr>
        <w:t xml:space="preserve">Nie każdy z tej grupy od stycznia 2023 r. zarobi więcej. </w:t>
      </w:r>
    </w:p>
    <w:p w14:paraId="714A2E6C" w14:textId="77777777" w:rsidR="00066E85" w:rsidRPr="00066E85" w:rsidRDefault="00066E85" w:rsidP="00066E8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2060"/>
        </w:rPr>
      </w:pPr>
      <w:r w:rsidRPr="00066E85">
        <w:rPr>
          <w:rFonts w:asciiTheme="minorHAnsi" w:hAnsiTheme="minorHAnsi" w:cstheme="minorHAnsi"/>
          <w:color w:val="002060"/>
        </w:rPr>
        <w:t xml:space="preserve">Jeżeli pracownikowi – a takich osób nie brakuje – wraz z płacą zasadniczą co miesiąc przyznawane są też inne składniki wynagrodzenia (np. premia, nagrody) i po ich zsumowaniu zatrudniony otrzymuje co najmniej minimum (3 490,00 zł lub 22,80 zł/h), nie ma konieczności podwyższania pensji zasadniczej (tj. aneksowania umowy). </w:t>
      </w:r>
    </w:p>
    <w:p w14:paraId="45E3E177" w14:textId="2588247F" w:rsidR="00066E85" w:rsidRPr="00066E85" w:rsidRDefault="00066E85" w:rsidP="00066E8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2060"/>
        </w:rPr>
      </w:pPr>
      <w:r w:rsidRPr="00066E85">
        <w:rPr>
          <w:rFonts w:asciiTheme="minorHAnsi" w:hAnsiTheme="minorHAnsi" w:cstheme="minorHAnsi"/>
          <w:color w:val="002060"/>
        </w:rPr>
        <w:t>Biorąc pod uwagę dane GUS za pierwsze trzy kwartały 2022 r. i dot. przeciętnego miesięcznego wynagrodzenia brutto w podmiotach sektora przedsiębiorstw o liczbie pracujących 50 i więcej osób, to na podwyżkę w styczniu mogło liczyć jedynie niecałe 3 proc. zatrudnionych.</w:t>
      </w:r>
    </w:p>
    <w:p w14:paraId="72ECF0E1" w14:textId="551843AB" w:rsidR="00066E85" w:rsidRPr="00066E85" w:rsidRDefault="00066E85" w:rsidP="00066E8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2060"/>
        </w:rPr>
      </w:pPr>
      <w:r w:rsidRPr="00066E85">
        <w:rPr>
          <w:rFonts w:asciiTheme="minorHAnsi" w:hAnsiTheme="minorHAnsi" w:cstheme="minorHAnsi"/>
          <w:color w:val="002060"/>
        </w:rPr>
        <w:t>Najniżej zarabiający pracują w branżach tj. przetwórstwo przemysłowe (48 proc. najmniej zarabiających), administrowanie oraz działalność wspierająca (32 proc.), transport i gospodarka magazynowa (11 proc.) lub budownictwo (9 proc.).</w:t>
      </w:r>
    </w:p>
    <w:p w14:paraId="524D725D" w14:textId="4DC42D28" w:rsidR="00066E85" w:rsidRPr="00066E85" w:rsidRDefault="00066E85" w:rsidP="00066E8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2060"/>
        </w:rPr>
      </w:pPr>
      <w:r w:rsidRPr="00066E85">
        <w:rPr>
          <w:rFonts w:asciiTheme="minorHAnsi" w:hAnsiTheme="minorHAnsi" w:cstheme="minorHAnsi"/>
          <w:color w:val="002060"/>
        </w:rPr>
        <w:t xml:space="preserve">W związku ze wzrostem wynagrodzeń, na niektórych mogą czekać zmiany w rozliczeniach podatkowych. Dotyczy to tych, którzy rozliczali się dotąd </w:t>
      </w:r>
      <w:r w:rsidR="00246E43">
        <w:rPr>
          <w:rFonts w:asciiTheme="minorHAnsi" w:hAnsiTheme="minorHAnsi" w:cstheme="minorHAnsi"/>
          <w:color w:val="002060"/>
        </w:rPr>
        <w:t>PIT</w:t>
      </w:r>
      <w:r w:rsidRPr="00066E85">
        <w:rPr>
          <w:rFonts w:asciiTheme="minorHAnsi" w:hAnsiTheme="minorHAnsi" w:cstheme="minorHAnsi"/>
          <w:color w:val="002060"/>
        </w:rPr>
        <w:t>em</w:t>
      </w:r>
      <w:r w:rsidR="00246E43">
        <w:rPr>
          <w:rFonts w:asciiTheme="minorHAnsi" w:hAnsiTheme="minorHAnsi" w:cstheme="minorHAnsi"/>
          <w:color w:val="002060"/>
        </w:rPr>
        <w:t>-</w:t>
      </w:r>
      <w:r w:rsidRPr="00066E85">
        <w:rPr>
          <w:rFonts w:asciiTheme="minorHAnsi" w:hAnsiTheme="minorHAnsi" w:cstheme="minorHAnsi"/>
          <w:color w:val="002060"/>
        </w:rPr>
        <w:t xml:space="preserve">2. Należy więc zwrócić uwagę, czy – po podwyżce wynagrodzenia – nadal nie przekraczamy 120 tys. zł rocznego dochodu, ponieważ to próg po przekroczeniu, którego </w:t>
      </w:r>
      <w:r w:rsidR="00246E43">
        <w:rPr>
          <w:rFonts w:asciiTheme="minorHAnsi" w:hAnsiTheme="minorHAnsi" w:cstheme="minorHAnsi"/>
          <w:color w:val="002060"/>
        </w:rPr>
        <w:t>PIT-</w:t>
      </w:r>
      <w:r w:rsidRPr="00066E85">
        <w:rPr>
          <w:rFonts w:asciiTheme="minorHAnsi" w:hAnsiTheme="minorHAnsi" w:cstheme="minorHAnsi"/>
          <w:color w:val="002060"/>
        </w:rPr>
        <w:t xml:space="preserve">2 może nie być opłacalnym rozwiązaniem. </w:t>
      </w:r>
    </w:p>
    <w:p w14:paraId="4FD1F74D" w14:textId="77777777" w:rsidR="00AC0F7F" w:rsidRPr="00066E85" w:rsidRDefault="00AC0F7F" w:rsidP="00AC0F7F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509203C" w14:textId="53F00A7F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Według danych GUS wynagrodzenie minimalne w Polsce otrzymuje 1,5 mln pracowników. Stanowi to ok. 13 proc. ogółu zatrudnionych. Niestety, biorąc pod uwagę dane z innych państw należących do Unii Europejskiej, wskaźnik ten jest stosunkowo wysoki. Według </w:t>
      </w:r>
      <w:proofErr w:type="spellStart"/>
      <w:r w:rsidRPr="00066E85">
        <w:rPr>
          <w:rFonts w:asciiTheme="minorHAnsi" w:hAnsiTheme="minorHAnsi" w:cstheme="minorHAnsi"/>
          <w:color w:val="002060"/>
          <w:sz w:val="22"/>
          <w:szCs w:val="22"/>
        </w:rPr>
        <w:t>Eurofound</w:t>
      </w:r>
      <w:proofErr w:type="spellEnd"/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minimalne wynagrodzenie pobiera przeciętnie co dziesiąty pracownik zatrudniony na terenie Wspólnoty. Być może pozycja naszego kraju ulegnie zmianie </w:t>
      </w:r>
      <w:r w:rsidR="00246E43">
        <w:rPr>
          <w:rFonts w:asciiTheme="minorHAnsi" w:hAnsiTheme="minorHAnsi" w:cstheme="minorHAnsi"/>
          <w:color w:val="002060"/>
          <w:sz w:val="22"/>
          <w:szCs w:val="22"/>
        </w:rPr>
        <w:t xml:space="preserve">w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2023 r. </w:t>
      </w:r>
      <w:r w:rsidR="00EC7A2C">
        <w:rPr>
          <w:rFonts w:asciiTheme="minorHAnsi" w:hAnsiTheme="minorHAnsi" w:cstheme="minorHAnsi"/>
          <w:color w:val="002060"/>
          <w:sz w:val="22"/>
          <w:szCs w:val="22"/>
        </w:rPr>
        <w:t>w związku z zaplanowanymi na początek roku i jego drugą połowę wzrostami wynagrodzeń minimalnych</w:t>
      </w:r>
      <w:r w:rsidR="00246E43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Pierwszą podwyżkę mamy już za sobą. Z dniem 1 stycznia br. </w:t>
      </w:r>
      <w:r w:rsidR="00EC7A2C">
        <w:rPr>
          <w:rFonts w:asciiTheme="minorHAnsi" w:hAnsiTheme="minorHAnsi" w:cstheme="minorHAnsi"/>
          <w:color w:val="002060"/>
          <w:sz w:val="22"/>
          <w:szCs w:val="22"/>
        </w:rPr>
        <w:t>najniższa krajowa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dla umów o pracę nie może być niższa niż 3 490,00 zł. brutto/miesiąc, a minimalna stawka dla umów cywilnoprawnych wynosi 22,80 zł. brutto/godzina.</w:t>
      </w:r>
    </w:p>
    <w:p w14:paraId="0A2680C8" w14:textId="77777777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81C2285" w14:textId="77777777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>W przypadku umów zawartych w 2022 r. i trwających w dniu 1 stycznia 2023 r. z wynagrodzeniem niższym niż wskazano powyżej, zachodzi konieczność aneksowania stawek godzinowych lub stawek miesięcznych.</w:t>
      </w:r>
    </w:p>
    <w:p w14:paraId="3ACCC5CA" w14:textId="77777777" w:rsidR="00AC0F7F" w:rsidRPr="00066E85" w:rsidRDefault="00AC0F7F" w:rsidP="00AC0F7F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630B690" w14:textId="55C7F999" w:rsidR="00AC0F7F" w:rsidRPr="00066E85" w:rsidRDefault="00AC0F7F" w:rsidP="00AC0F7F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Przedwczesna radość?</w:t>
      </w:r>
    </w:p>
    <w:p w14:paraId="73BF4915" w14:textId="77777777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DEBCA9C" w14:textId="7B6FCC2E" w:rsidR="00281C63" w:rsidRPr="00066E85" w:rsidRDefault="00AC0F7F" w:rsidP="003D4E7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Nie wszystko jest jednak tak jednoznaczne i oczywiste. </w:t>
      </w:r>
      <w:r w:rsidR="00281C63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Biorąc pod uwagę dane GUS za pierwsze trzy kwartały 2022 r. i dot. przeciętnego miesięcznego wynagrodzenia brutto w podmiotach sektora </w:t>
      </w:r>
      <w:r w:rsidR="00281C63" w:rsidRPr="00066E85">
        <w:rPr>
          <w:rFonts w:asciiTheme="minorHAnsi" w:hAnsiTheme="minorHAnsi" w:cstheme="minorHAnsi"/>
          <w:color w:val="002060"/>
          <w:sz w:val="22"/>
          <w:szCs w:val="22"/>
        </w:rPr>
        <w:lastRenderedPageBreak/>
        <w:t>przedsiębiorstw o liczbie pracujących 50 i więcej osób, to na podwyżkę może liczyć jedynie niecałe 3 proc. zatrudnionych. Taka grupa otrzymywała w ubiegłym roku mniej niż 3 500 zł brutto</w:t>
      </w:r>
      <w:r w:rsidR="00F36738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i pracowała w branżach tj. przetwórstwo przemysłowe</w:t>
      </w:r>
      <w:r w:rsidR="00755AE0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(48 proc. najmniej zarabiających)</w:t>
      </w:r>
      <w:r w:rsidR="00F36738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755AE0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administrowanie oraz działalność wspierająca (32 proc.), </w:t>
      </w:r>
      <w:r w:rsidR="00F36738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transport i gospodarka magazynowa </w:t>
      </w:r>
      <w:r w:rsidR="00755AE0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(11 proc.) </w:t>
      </w:r>
      <w:r w:rsidR="00F36738" w:rsidRPr="00066E85">
        <w:rPr>
          <w:rFonts w:asciiTheme="minorHAnsi" w:hAnsiTheme="minorHAnsi" w:cstheme="minorHAnsi"/>
          <w:color w:val="002060"/>
          <w:sz w:val="22"/>
          <w:szCs w:val="22"/>
        </w:rPr>
        <w:t>lub</w:t>
      </w:r>
      <w:r w:rsidR="00755AE0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budownictwo (9 proc.). Na ustaw</w:t>
      </w:r>
      <w:r w:rsidR="003D4E7D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owe </w:t>
      </w:r>
      <w:r w:rsidR="00066E85">
        <w:rPr>
          <w:rFonts w:asciiTheme="minorHAnsi" w:hAnsiTheme="minorHAnsi" w:cstheme="minorHAnsi"/>
          <w:color w:val="002060"/>
          <w:sz w:val="22"/>
          <w:szCs w:val="22"/>
        </w:rPr>
        <w:t xml:space="preserve">wzrost pensji </w:t>
      </w:r>
      <w:r w:rsidR="00755AE0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raczej nie załapią się </w:t>
      </w:r>
      <w:r w:rsidR="003D4E7D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osoby z firm (zatrudniających więcej niż 50 osób) działających w sektorze: górnictwo i wydobywanie; produkcja napojów lub wyrobów tytoniowych; wytwarzanie i przetwarzanie koksu oraz produktów rafinacji ropy naftowej; produkcja wyrobów farmaceutycznych lub komputerów, wyrobów elektronicznych i optycznych; wytwarzanie i zaopatrywanie w energię elektryczną, gaz, parę wodną i gorącą wodę; dostawa wody, gospodarowanie ściekami i odpadami, rekultywacja, a także handel i naprawa pojazdów. W wymienionych branżach (wg GUS) stawki przekraczają </w:t>
      </w:r>
      <w:r w:rsidR="00066E85">
        <w:rPr>
          <w:rFonts w:asciiTheme="minorHAnsi" w:hAnsiTheme="minorHAnsi" w:cstheme="minorHAnsi"/>
          <w:color w:val="002060"/>
          <w:sz w:val="22"/>
          <w:szCs w:val="22"/>
        </w:rPr>
        <w:t xml:space="preserve">bowiem </w:t>
      </w:r>
      <w:r w:rsidR="003D4E7D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3 500 tys. brutto. </w:t>
      </w:r>
    </w:p>
    <w:p w14:paraId="48FB04AF" w14:textId="77777777" w:rsidR="003D4E7D" w:rsidRPr="00066E85" w:rsidRDefault="003D4E7D" w:rsidP="003D4E7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5D888EE" w14:textId="4532CEDC" w:rsidR="00AC0F7F" w:rsidRPr="00066E85" w:rsidRDefault="00066E85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Co więcej, jeśli 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pracownikowi wraz z płacą zasadniczą co miesiąc wypłacamy inne składniki wynagrodzenia (np. premia, nagrody) i po ich zsumowaniu zatrudniony otrzyma co najmniej minimum (3 490,00 zł lub 22,80 zł/h),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to 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>nie ma konieczności podwyższania pensji zasadniczej (tj. aneksowania umowy). Warto wiedzieć, że do płacy minimalnej nie wlicza się wynagrodzenie za pracę w godzinach nadliczbowych i dodatków za pracę w porze nocnej.</w:t>
      </w:r>
    </w:p>
    <w:p w14:paraId="63A6A144" w14:textId="77777777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F09EB66" w14:textId="6E5B0174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– </w:t>
      </w:r>
      <w:r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>Sytuacja, w której wynagrodzenie składa się co miesiąc z kilku składników, często dotyczy pracowników tymczasowych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– </w:t>
      </w:r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mówi Natalia </w:t>
      </w:r>
      <w:proofErr w:type="spellStart"/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Myskova</w:t>
      </w:r>
      <w:proofErr w:type="spellEnd"/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, dyrektor ds. rekrutacji międzynarodowej w Grupie Progres.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– </w:t>
      </w:r>
      <w:r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Oprócz pensji zasadniczej otrzymują oni różnego rodzaju premie – uznaniową, frekwencyjną, za wydajność. Ich wysokość wynosi od 4 proc. do 14 proc. od kwoty wynagrodzenia lub od 50 zł do nawet 1500 zł brutto miesięcznie – </w:t>
      </w:r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dodaje.</w:t>
      </w:r>
      <w:r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</w:p>
    <w:p w14:paraId="1C7F0738" w14:textId="77777777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B70D3A5" w14:textId="299635BE" w:rsidR="00AD7DE5" w:rsidRPr="00066E85" w:rsidRDefault="00040F88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Według analiz Grupy 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Progres, ponad 60 proc.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pracowników tymczasowych </w:t>
      </w:r>
      <w:r w:rsidR="00AD7DE5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jest 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>zatrudni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onych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u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k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>lientów agencji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AD7DE5" w:rsidRPr="00066E85">
        <w:rPr>
          <w:rFonts w:asciiTheme="minorHAnsi" w:hAnsiTheme="minorHAnsi" w:cstheme="minorHAnsi"/>
          <w:color w:val="002060"/>
          <w:sz w:val="22"/>
          <w:szCs w:val="22"/>
        </w:rPr>
        <w:t>na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umowę zlecenie. Wielu z nich 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>otrzyma podwyżkę związaną ze wzrostem minimalnej stawki.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Co więcej,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spora grupa bardziej wykwalifikowanych pracowników, zarabiających powyżej najniższego wynagrodzenia, również – już w styczniu –</w:t>
      </w:r>
      <w:r w:rsidR="00AD7DE5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zarobiła więcej, bo stawki dla tej grupy także 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>wzrosły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="00066E85">
        <w:rPr>
          <w:rFonts w:asciiTheme="minorHAnsi" w:hAnsiTheme="minorHAnsi" w:cstheme="minorHAnsi"/>
          <w:color w:val="002060"/>
          <w:sz w:val="22"/>
          <w:szCs w:val="22"/>
        </w:rPr>
        <w:t>N</w:t>
      </w:r>
      <w:r w:rsidR="00AD7DE5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a taki krok zdecydowały się 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m.in. </w:t>
      </w:r>
      <w:r w:rsidR="00AD7DE5" w:rsidRPr="00066E85">
        <w:rPr>
          <w:rFonts w:asciiTheme="minorHAnsi" w:hAnsiTheme="minorHAnsi" w:cstheme="minorHAnsi"/>
          <w:color w:val="002060"/>
          <w:sz w:val="22"/>
          <w:szCs w:val="22"/>
        </w:rPr>
        <w:t>firmy z branży mięsnej czy rybnej, podmioty zatrudniające szwaczki, spawaczy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lub operatorów maszyn i wózków widłowych. Przykładowo – tam, gdzie przed podwyżką stawka </w:t>
      </w:r>
      <w:r w:rsidR="00AD7DE5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wynosiła 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>20 zł brutto</w:t>
      </w:r>
      <w:r w:rsidR="00AD7DE5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lub 25 zł brutto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>, teraz jest 23</w:t>
      </w:r>
      <w:r w:rsidR="00AD7DE5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zł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brutto</w:t>
      </w:r>
      <w:r w:rsidR="00AD7DE5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lub 28 </w:t>
      </w:r>
      <w:r w:rsidR="00AC0F7F" w:rsidRPr="00066E85">
        <w:rPr>
          <w:rFonts w:asciiTheme="minorHAnsi" w:hAnsiTheme="minorHAnsi" w:cstheme="minorHAnsi"/>
          <w:color w:val="002060"/>
          <w:sz w:val="22"/>
          <w:szCs w:val="22"/>
        </w:rPr>
        <w:t>zł brutto.</w:t>
      </w:r>
      <w:r w:rsidR="00066E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5C9323C5" w14:textId="77777777" w:rsidR="00AD7DE5" w:rsidRPr="00066E85" w:rsidRDefault="00AD7DE5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E3D81A2" w14:textId="4AB292D5" w:rsidR="00AC0F7F" w:rsidRPr="00066E85" w:rsidRDefault="00AD7DE5" w:rsidP="00AC0F7F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– </w:t>
      </w:r>
      <w:r w:rsidR="00AC0F7F"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>Niektóre firmy już od listopada ubiegłego roku rekrutują na stawkach 22,80 zł brutto. Inna część – choć niewielka – poszła nawet o krok dalej i od razu zaczęła od minimalnej stawki godzinowej, która obowiązywać będzie od lipca 2023 - czyli 23,</w:t>
      </w:r>
      <w:r w:rsidR="00885EE9">
        <w:rPr>
          <w:rFonts w:asciiTheme="minorHAnsi" w:hAnsiTheme="minorHAnsi" w:cstheme="minorHAnsi"/>
          <w:i/>
          <w:iCs/>
          <w:color w:val="002060"/>
          <w:sz w:val="22"/>
          <w:szCs w:val="22"/>
        </w:rPr>
        <w:t>50</w:t>
      </w:r>
      <w:r w:rsidR="00AC0F7F"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zł brutto. Ma to bardzo pozytywny efekt </w:t>
      </w:r>
      <w:r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– </w:t>
      </w:r>
      <w:r w:rsidR="003D6D9D"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zmniejsza rotację w firmie </w:t>
      </w:r>
      <w:r w:rsidR="00AC0F7F"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>i</w:t>
      </w:r>
      <w:r w:rsidR="003D6D9D"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zwiększa zainteresowanie kandydatów oraz wpływa na większą liczb</w:t>
      </w:r>
      <w:r w:rsid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>ę</w:t>
      </w:r>
      <w:r w:rsidR="003D6D9D"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rekrutacji zakończonych sukcesem – </w:t>
      </w:r>
      <w:r w:rsidR="003D6D9D"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mówi Natalia </w:t>
      </w:r>
      <w:proofErr w:type="spellStart"/>
      <w:r w:rsidR="003D6D9D"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Myskova</w:t>
      </w:r>
      <w:proofErr w:type="spellEnd"/>
      <w:r w:rsidR="003D6D9D"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, dyrektor ds. rekrutacji międzynarodowej w Grupie Progres.</w:t>
      </w:r>
    </w:p>
    <w:p w14:paraId="3679EE4D" w14:textId="7EB7CF51" w:rsidR="003D6D9D" w:rsidRPr="00066E85" w:rsidRDefault="003D6D9D" w:rsidP="00AC0F7F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6C996456" w14:textId="34385BB4" w:rsidR="003D6D9D" w:rsidRPr="00066E85" w:rsidRDefault="003D6D9D" w:rsidP="00AC0F7F">
      <w:pPr>
        <w:jc w:val="both"/>
        <w:rPr>
          <w:rFonts w:asciiTheme="minorHAnsi" w:hAnsiTheme="minorHAnsi" w:cstheme="minorHAnsi"/>
          <w:i/>
          <w:iCs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Rozliczać </w:t>
      </w:r>
      <w:r w:rsidR="00246E43">
        <w:rPr>
          <w:rFonts w:asciiTheme="minorHAnsi" w:hAnsiTheme="minorHAnsi" w:cstheme="minorHAnsi"/>
          <w:b/>
          <w:bCs/>
          <w:color w:val="002060"/>
          <w:sz w:val="22"/>
          <w:szCs w:val="22"/>
        </w:rPr>
        <w:t>PIT-</w:t>
      </w:r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2 czy nie? Oto jest pytanie</w:t>
      </w:r>
    </w:p>
    <w:p w14:paraId="58A30C4D" w14:textId="77777777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21BC7C2" w14:textId="5EFAE962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W związku ze wzrostem wynagrodzeń, na niektórych mogą czekać zmiany w rozliczeniach podatkowych. Dotyczy to tych, którzy rozliczali się dotąd </w:t>
      </w:r>
      <w:r w:rsidR="00246E43">
        <w:rPr>
          <w:rFonts w:asciiTheme="minorHAnsi" w:hAnsiTheme="minorHAnsi" w:cstheme="minorHAnsi"/>
          <w:color w:val="002060"/>
          <w:sz w:val="22"/>
          <w:szCs w:val="22"/>
        </w:rPr>
        <w:t>PIT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em</w:t>
      </w:r>
      <w:r w:rsidR="00246E43">
        <w:rPr>
          <w:rFonts w:asciiTheme="minorHAnsi" w:hAnsiTheme="minorHAnsi" w:cstheme="minorHAnsi"/>
          <w:color w:val="002060"/>
          <w:sz w:val="22"/>
          <w:szCs w:val="22"/>
        </w:rPr>
        <w:t>-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2. Jeśli umowa zlecenie była ich jedynym źródłem dochodów, a roczny dochód nie przekraczał 120 tys. zł, to był to najkorzystniejszy sposób rozliczenia z US w części dotyczącej kwoty zmniejszającej podatek. Dzięki temu płatnik mógł odprowadzać do urzędu skarbowego mniejsze zaliczki na podatek, a zleceniobiorca dostawał do ręki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lastRenderedPageBreak/>
        <w:t>większą kwotę. Należy więc zwrócić uwagę, czy – po podwyżce wynagrodzenia – nadal nie przekraczamy 120 tys.</w:t>
      </w:r>
      <w:r w:rsidR="003D6D9D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zł rocznego dochodu, ponieważ ta kwota nie uległa zmianie.</w:t>
      </w:r>
    </w:p>
    <w:p w14:paraId="51AF2C1F" w14:textId="77777777" w:rsidR="003D6D9D" w:rsidRPr="00066E85" w:rsidRDefault="003D6D9D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ECB1286" w14:textId="3703C27A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Jeśli dochody z umowy zlecenia przekroczą próg 120 tys. zł to nadal można złożyć </w:t>
      </w:r>
      <w:r w:rsidR="00246E43">
        <w:rPr>
          <w:rFonts w:asciiTheme="minorHAnsi" w:hAnsiTheme="minorHAnsi" w:cstheme="minorHAnsi"/>
          <w:color w:val="002060"/>
          <w:sz w:val="22"/>
          <w:szCs w:val="22"/>
        </w:rPr>
        <w:t>PIT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-2, jednak może to oznaczać niedopłatę podatku w zeznaniu rocznym. Ostatecznie będzie to zależało m.in. od tego, z jakich ulg i odliczeń będzie korzystał podatnik w rozliczeniu rocznym. Nawet jeżeli ostatecznie wystąpi niedopłata, podatnik może na tym skorzystać.</w:t>
      </w:r>
    </w:p>
    <w:p w14:paraId="4F928F99" w14:textId="77777777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449BC729" w14:textId="483FFDBA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Zarobki osób, które otrzymywały minimalne wynagrodzenie, wzrośnie dość znacząco. Jeśli w roku 2022 minimalna stawka netto dla liniowego pracownika wynosiła 14,22 zł, to teraz (z podpisanym </w:t>
      </w:r>
      <w:r w:rsidR="00246E43">
        <w:rPr>
          <w:rFonts w:asciiTheme="minorHAnsi" w:hAnsiTheme="minorHAnsi" w:cstheme="minorHAnsi"/>
          <w:color w:val="002060"/>
          <w:sz w:val="22"/>
          <w:szCs w:val="22"/>
        </w:rPr>
        <w:t>PIT-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2) zleceniobiorca może otrzymać 18,47 </w:t>
      </w:r>
      <w:r w:rsidR="00652E4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zł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na rękę</w:t>
      </w:r>
      <w:r w:rsidR="003D6D9D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="00652E4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Co więcej, pracownicy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tymczasowi (głównie z Ukrainy) </w:t>
      </w:r>
      <w:r w:rsidR="00652E4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spędzają w firmach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często po 12 godzin, czyli w miesiącu </w:t>
      </w:r>
      <w:r w:rsidR="00652E4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średnio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220-240 </w:t>
      </w:r>
      <w:r w:rsidR="00652E4F" w:rsidRPr="00066E85">
        <w:rPr>
          <w:rFonts w:asciiTheme="minorHAnsi" w:hAnsiTheme="minorHAnsi" w:cstheme="minorHAnsi"/>
          <w:color w:val="002060"/>
          <w:sz w:val="22"/>
          <w:szCs w:val="22"/>
        </w:rPr>
        <w:t>RBH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. Jeśli w 2022 r</w:t>
      </w:r>
      <w:r w:rsidR="00652E4F" w:rsidRPr="00066E85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za taki miesiąc na rękę dostawali 3</w:t>
      </w:r>
      <w:r w:rsidR="00652E4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270 zł netto, to w 2023 r</w:t>
      </w:r>
      <w:r w:rsidR="00652E4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. mogą liczyć na wypłatę w wysokości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4</w:t>
      </w:r>
      <w:r w:rsidR="00652E4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250 zł netto, czyli niemal o 1 tysiąc </w:t>
      </w:r>
      <w:r w:rsidR="00652E4F"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zł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>więcej.</w:t>
      </w:r>
    </w:p>
    <w:p w14:paraId="27343CEC" w14:textId="77777777" w:rsidR="00AC0F7F" w:rsidRPr="00066E85" w:rsidRDefault="00AC0F7F" w:rsidP="00AC0F7F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E8D822E" w14:textId="59A5D041" w:rsidR="00AC0F7F" w:rsidRPr="00066E85" w:rsidRDefault="00652E4F" w:rsidP="00AC0F7F">
      <w:pPr>
        <w:jc w:val="both"/>
        <w:rPr>
          <w:rFonts w:asciiTheme="minorHAnsi" w:hAnsiTheme="minorHAnsi" w:cstheme="minorHAnsi"/>
          <w:i/>
          <w:iCs/>
          <w:color w:val="002060"/>
          <w:sz w:val="22"/>
          <w:szCs w:val="22"/>
        </w:rPr>
      </w:pP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– </w:t>
      </w:r>
      <w:r w:rsidR="00AC0F7F"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>Wzrost wynagrodzenia zasadniczego dla pracownika zawsze wiąże się ze wzrostem kosztów, które ponieść musi pracodawca. Nie inaczej jest w przypadku pracowników tymczasowych. Tu jednostkowy wzrost w pierwszym półroczu wyniesie ok. 15 proc. i ok. 20 proc. w drugim.</w:t>
      </w:r>
      <w:r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  <w:r w:rsidR="00AC0F7F"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W większości przypadków nie oznacza to jednak wstrzymania rekrutacji czy redukcji liczby pracowników, ale raczej zmiany formy zatrudnienia </w:t>
      </w:r>
      <w:r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>–</w:t>
      </w:r>
      <w:r w:rsidR="00AC0F7F"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z umowy zlecenie na umowę o pracę. Często ten rodzaj umowy bardziej będzie </w:t>
      </w:r>
      <w:r w:rsidRPr="00066E85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dla przełożonego bardziej opłacalny </w:t>
      </w:r>
      <w:r w:rsidRPr="00066E85">
        <w:rPr>
          <w:rFonts w:asciiTheme="minorHAnsi" w:hAnsiTheme="minorHAnsi" w:cstheme="minorHAnsi"/>
          <w:color w:val="002060"/>
          <w:sz w:val="22"/>
          <w:szCs w:val="22"/>
        </w:rPr>
        <w:t xml:space="preserve">– podsumowuje </w:t>
      </w:r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Natalia </w:t>
      </w:r>
      <w:proofErr w:type="spellStart"/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>Myskova</w:t>
      </w:r>
      <w:proofErr w:type="spellEnd"/>
      <w:r w:rsidRPr="00066E85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. </w:t>
      </w:r>
    </w:p>
    <w:p w14:paraId="20C6AD79" w14:textId="77777777" w:rsidR="00863E63" w:rsidRDefault="00863E63" w:rsidP="00863E63">
      <w:pPr>
        <w:jc w:val="both"/>
      </w:pPr>
    </w:p>
    <w:p w14:paraId="11918534" w14:textId="56085B58" w:rsidR="005F1AD4" w:rsidRDefault="00370E5A" w:rsidP="00725C4A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113F7A"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013E0F43" w14:textId="656ACE6F" w:rsidR="00246DEC" w:rsidRDefault="00246DEC" w:rsidP="00246DE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</w:t>
      </w:r>
      <w:r w:rsidR="00246E43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pit</w:t>
      </w: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</w:t>
      </w:r>
      <w:r w:rsidR="00246E43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kapitału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Recruitment</w:t>
      </w:r>
      <w:proofErr w:type="spellEnd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40D9142A" w14:textId="62E77575" w:rsidR="00F77D64" w:rsidRDefault="00F77D64" w:rsidP="00246DE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</w:p>
    <w:p w14:paraId="6492006A" w14:textId="77777777" w:rsidR="00F77D64" w:rsidRPr="001B19DA" w:rsidRDefault="00F77D64" w:rsidP="00246DE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552B8D4" w14:textId="4D7BB663" w:rsidR="005C23D0" w:rsidRDefault="005C23D0" w:rsidP="005C23D0">
      <w:pPr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1E10D274" w14:textId="161BF25A" w:rsidR="005C23D0" w:rsidRPr="005C23D0" w:rsidRDefault="005C23D0" w:rsidP="005C23D0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5C23D0">
        <w:rPr>
          <w:rFonts w:asciiTheme="minorHAnsi" w:hAnsiTheme="minorHAnsi" w:cstheme="minorHAnsi"/>
          <w:b/>
          <w:color w:val="002060"/>
          <w:sz w:val="20"/>
          <w:szCs w:val="20"/>
        </w:rPr>
        <w:t>*****************</w:t>
      </w:r>
    </w:p>
    <w:p w14:paraId="20B6DED7" w14:textId="77777777" w:rsidR="005C23D0" w:rsidRDefault="005C23D0" w:rsidP="005C23D0">
      <w:pPr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4DF2F9F7" w14:textId="4F55FE57" w:rsidR="00370E5A" w:rsidRPr="00D35019" w:rsidRDefault="00370E5A" w:rsidP="00370E5A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b/>
          <w:color w:val="002060"/>
          <w:sz w:val="20"/>
          <w:szCs w:val="20"/>
        </w:rPr>
        <w:t>Biuro prasowe</w:t>
      </w:r>
      <w:r w:rsidR="000B298E">
        <w:rPr>
          <w:rFonts w:asciiTheme="minorHAnsi" w:hAnsiTheme="minorHAnsi" w:cstheme="minorHAnsi"/>
          <w:b/>
          <w:color w:val="002060"/>
          <w:sz w:val="20"/>
          <w:szCs w:val="20"/>
        </w:rPr>
        <w:t>:</w:t>
      </w:r>
    </w:p>
    <w:p w14:paraId="7D6C64B3" w14:textId="77777777" w:rsidR="00370E5A" w:rsidRPr="00D35019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Kamila Tyniec</w:t>
      </w:r>
    </w:p>
    <w:p w14:paraId="42601D6A" w14:textId="77777777" w:rsidR="00370E5A" w:rsidRPr="000E288D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0E288D">
        <w:rPr>
          <w:rFonts w:asciiTheme="minorHAnsi" w:hAnsiTheme="minorHAnsi" w:cstheme="minorHAnsi"/>
          <w:color w:val="002060"/>
          <w:sz w:val="20"/>
          <w:szCs w:val="20"/>
        </w:rPr>
        <w:t xml:space="preserve">e-mail: </w:t>
      </w:r>
      <w:hyperlink r:id="rId8" w:history="1">
        <w:r w:rsidRPr="000E288D">
          <w:rPr>
            <w:rStyle w:val="Hipercze"/>
            <w:rFonts w:asciiTheme="minorHAnsi" w:hAnsiTheme="minorHAnsi" w:cstheme="minorHAnsi"/>
            <w:sz w:val="20"/>
            <w:szCs w:val="20"/>
          </w:rPr>
          <w:t>k.tyniec@bepr.pl</w:t>
        </w:r>
      </w:hyperlink>
      <w:r w:rsidRPr="000E288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3603FE32" w14:textId="70447F1E" w:rsidR="00DF5583" w:rsidRPr="00D35019" w:rsidRDefault="00370E5A" w:rsidP="0078550F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kom. +48 500 690 965</w:t>
      </w:r>
    </w:p>
    <w:sectPr w:rsidR="00DF5583" w:rsidRPr="00D35019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C6E3" w14:textId="77777777" w:rsidR="00DF38B9" w:rsidRDefault="00DF38B9" w:rsidP="00B332FF">
      <w:r>
        <w:separator/>
      </w:r>
    </w:p>
  </w:endnote>
  <w:endnote w:type="continuationSeparator" w:id="0">
    <w:p w14:paraId="156A5022" w14:textId="77777777" w:rsidR="00DF38B9" w:rsidRDefault="00DF38B9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C842" w14:textId="77777777" w:rsidR="00B332FF" w:rsidRDefault="00F92323" w:rsidP="004903D7">
    <w:pPr>
      <w:pStyle w:val="Stopka"/>
      <w:jc w:val="center"/>
    </w:pPr>
    <w:r w:rsidRPr="00656E61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BF683" wp14:editId="351CDEAD">
          <wp:simplePos x="0" y="0"/>
          <wp:positionH relativeFrom="margin">
            <wp:posOffset>1594485</wp:posOffset>
          </wp:positionH>
          <wp:positionV relativeFrom="paragraph">
            <wp:posOffset>-215376</wp:posOffset>
          </wp:positionV>
          <wp:extent cx="2569845" cy="78803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mowa_stopka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E6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F975995" wp14:editId="5C546E96">
          <wp:simplePos x="0" y="0"/>
          <wp:positionH relativeFrom="margin">
            <wp:posOffset>156210</wp:posOffset>
          </wp:positionH>
          <wp:positionV relativeFrom="margin">
            <wp:posOffset>8232775</wp:posOffset>
          </wp:positionV>
          <wp:extent cx="5445760" cy="735330"/>
          <wp:effectExtent l="0" t="0" r="254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46D4" w14:textId="77777777" w:rsidR="00DF38B9" w:rsidRDefault="00DF38B9" w:rsidP="00B332FF">
      <w:r>
        <w:separator/>
      </w:r>
    </w:p>
  </w:footnote>
  <w:footnote w:type="continuationSeparator" w:id="0">
    <w:p w14:paraId="6285F1B9" w14:textId="77777777" w:rsidR="00DF38B9" w:rsidRDefault="00DF38B9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046" w14:textId="77777777" w:rsidR="000924FC" w:rsidRDefault="00257792" w:rsidP="00AA7EA1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E130B17" wp14:editId="6B9D6C4F">
          <wp:simplePos x="0" y="0"/>
          <wp:positionH relativeFrom="column">
            <wp:posOffset>-555238</wp:posOffset>
          </wp:positionH>
          <wp:positionV relativeFrom="paragraph">
            <wp:posOffset>-164657</wp:posOffset>
          </wp:positionV>
          <wp:extent cx="947530" cy="654002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750" cy="66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4B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15115C1" wp14:editId="6EBC34BF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58F2" w14:textId="77777777" w:rsidR="00AA7EA1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1D17F756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3B78534B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NIP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584-27-39-004</w:t>
                          </w: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; REGON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360182321</w:t>
                          </w:r>
                        </w:p>
                        <w:p w14:paraId="12202EC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15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2E2358F2" w14:textId="77777777" w:rsidR="00AA7EA1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1D17F756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3B78534B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NIP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584-27-39-004</w:t>
                    </w: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; REGON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360182321</w:t>
                    </w:r>
                  </w:p>
                  <w:p w14:paraId="12202EC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7EA1">
      <w:tab/>
    </w:r>
  </w:p>
  <w:p w14:paraId="5382D307" w14:textId="77777777" w:rsidR="000924FC" w:rsidRDefault="000924FC">
    <w:pPr>
      <w:pStyle w:val="Nagwek"/>
    </w:pPr>
  </w:p>
  <w:p w14:paraId="5CE68849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4086F6" wp14:editId="578663B5">
          <wp:simplePos x="0" y="0"/>
          <wp:positionH relativeFrom="column">
            <wp:posOffset>-614045</wp:posOffset>
          </wp:positionH>
          <wp:positionV relativeFrom="paragraph">
            <wp:posOffset>676275</wp:posOffset>
          </wp:positionV>
          <wp:extent cx="165371" cy="80105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" cy="885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0CA"/>
    <w:multiLevelType w:val="hybridMultilevel"/>
    <w:tmpl w:val="E080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7568"/>
    <w:multiLevelType w:val="hybridMultilevel"/>
    <w:tmpl w:val="D51E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E5A"/>
    <w:multiLevelType w:val="hybridMultilevel"/>
    <w:tmpl w:val="8E84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34C"/>
    <w:multiLevelType w:val="hybridMultilevel"/>
    <w:tmpl w:val="3FE2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286B21"/>
    <w:multiLevelType w:val="hybridMultilevel"/>
    <w:tmpl w:val="61F6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75100"/>
    <w:multiLevelType w:val="hybridMultilevel"/>
    <w:tmpl w:val="8542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F4270"/>
    <w:multiLevelType w:val="hybridMultilevel"/>
    <w:tmpl w:val="24DA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2741C"/>
    <w:multiLevelType w:val="hybridMultilevel"/>
    <w:tmpl w:val="6B54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246A5"/>
    <w:multiLevelType w:val="hybridMultilevel"/>
    <w:tmpl w:val="F98C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A3787"/>
    <w:multiLevelType w:val="hybridMultilevel"/>
    <w:tmpl w:val="FDD2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66C37"/>
    <w:multiLevelType w:val="hybridMultilevel"/>
    <w:tmpl w:val="8FE2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12D1"/>
    <w:multiLevelType w:val="hybridMultilevel"/>
    <w:tmpl w:val="42F2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A7C8B"/>
    <w:multiLevelType w:val="hybridMultilevel"/>
    <w:tmpl w:val="4DE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25047AD"/>
    <w:multiLevelType w:val="hybridMultilevel"/>
    <w:tmpl w:val="E0DE1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8490C"/>
    <w:multiLevelType w:val="hybridMultilevel"/>
    <w:tmpl w:val="306E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582920">
    <w:abstractNumId w:val="11"/>
  </w:num>
  <w:num w:numId="3" w16cid:durableId="843862024">
    <w:abstractNumId w:val="18"/>
  </w:num>
  <w:num w:numId="4" w16cid:durableId="938835128">
    <w:abstractNumId w:val="5"/>
  </w:num>
  <w:num w:numId="5" w16cid:durableId="87242198">
    <w:abstractNumId w:val="16"/>
  </w:num>
  <w:num w:numId="6" w16cid:durableId="1262227559">
    <w:abstractNumId w:val="6"/>
  </w:num>
  <w:num w:numId="7" w16cid:durableId="132988570">
    <w:abstractNumId w:val="19"/>
  </w:num>
  <w:num w:numId="8" w16cid:durableId="2043746970">
    <w:abstractNumId w:val="1"/>
  </w:num>
  <w:num w:numId="9" w16cid:durableId="900599151">
    <w:abstractNumId w:val="15"/>
  </w:num>
  <w:num w:numId="10" w16cid:durableId="212814669">
    <w:abstractNumId w:val="21"/>
  </w:num>
  <w:num w:numId="11" w16cid:durableId="1097213764">
    <w:abstractNumId w:val="7"/>
  </w:num>
  <w:num w:numId="12" w16cid:durableId="647709296">
    <w:abstractNumId w:val="17"/>
  </w:num>
  <w:num w:numId="13" w16cid:durableId="917060775">
    <w:abstractNumId w:val="0"/>
  </w:num>
  <w:num w:numId="14" w16cid:durableId="761224630">
    <w:abstractNumId w:val="3"/>
  </w:num>
  <w:num w:numId="15" w16cid:durableId="1850560109">
    <w:abstractNumId w:val="8"/>
  </w:num>
  <w:num w:numId="16" w16cid:durableId="1875922009">
    <w:abstractNumId w:val="12"/>
  </w:num>
  <w:num w:numId="17" w16cid:durableId="2029287698">
    <w:abstractNumId w:val="4"/>
  </w:num>
  <w:num w:numId="18" w16cid:durableId="370886951">
    <w:abstractNumId w:val="13"/>
  </w:num>
  <w:num w:numId="19" w16cid:durableId="316812769">
    <w:abstractNumId w:val="9"/>
  </w:num>
  <w:num w:numId="20" w16cid:durableId="1836148218">
    <w:abstractNumId w:val="20"/>
  </w:num>
  <w:num w:numId="21" w16cid:durableId="2068409845">
    <w:abstractNumId w:val="14"/>
  </w:num>
  <w:num w:numId="22" w16cid:durableId="1058747955">
    <w:abstractNumId w:val="2"/>
  </w:num>
  <w:num w:numId="23" w16cid:durableId="1749646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5C"/>
    <w:rsid w:val="00003012"/>
    <w:rsid w:val="00004779"/>
    <w:rsid w:val="000151BA"/>
    <w:rsid w:val="00015E32"/>
    <w:rsid w:val="000161FA"/>
    <w:rsid w:val="00017319"/>
    <w:rsid w:val="000205E7"/>
    <w:rsid w:val="000263E5"/>
    <w:rsid w:val="00027043"/>
    <w:rsid w:val="000300CB"/>
    <w:rsid w:val="00032BB7"/>
    <w:rsid w:val="00040F88"/>
    <w:rsid w:val="00043884"/>
    <w:rsid w:val="00043E60"/>
    <w:rsid w:val="000516EF"/>
    <w:rsid w:val="00053A50"/>
    <w:rsid w:val="0005602C"/>
    <w:rsid w:val="000575E5"/>
    <w:rsid w:val="0006333F"/>
    <w:rsid w:val="00066E85"/>
    <w:rsid w:val="00067B03"/>
    <w:rsid w:val="00070D8D"/>
    <w:rsid w:val="0007560E"/>
    <w:rsid w:val="00082F9B"/>
    <w:rsid w:val="000852FF"/>
    <w:rsid w:val="000924FC"/>
    <w:rsid w:val="00093C81"/>
    <w:rsid w:val="00096747"/>
    <w:rsid w:val="000A0037"/>
    <w:rsid w:val="000A611C"/>
    <w:rsid w:val="000B298E"/>
    <w:rsid w:val="000B54D5"/>
    <w:rsid w:val="000C60C2"/>
    <w:rsid w:val="000C7FCE"/>
    <w:rsid w:val="000D5952"/>
    <w:rsid w:val="000D70AC"/>
    <w:rsid w:val="000E0D1E"/>
    <w:rsid w:val="000E18F0"/>
    <w:rsid w:val="000E264F"/>
    <w:rsid w:val="000E288D"/>
    <w:rsid w:val="000E3712"/>
    <w:rsid w:val="000E4A5D"/>
    <w:rsid w:val="000E6326"/>
    <w:rsid w:val="00103C97"/>
    <w:rsid w:val="00110F64"/>
    <w:rsid w:val="001127B1"/>
    <w:rsid w:val="00113ED4"/>
    <w:rsid w:val="00113F7A"/>
    <w:rsid w:val="00114128"/>
    <w:rsid w:val="00114250"/>
    <w:rsid w:val="001158CE"/>
    <w:rsid w:val="001164A7"/>
    <w:rsid w:val="001237A6"/>
    <w:rsid w:val="00125178"/>
    <w:rsid w:val="00126635"/>
    <w:rsid w:val="001267DC"/>
    <w:rsid w:val="00127F75"/>
    <w:rsid w:val="00131071"/>
    <w:rsid w:val="001352AC"/>
    <w:rsid w:val="00137CC1"/>
    <w:rsid w:val="001404AA"/>
    <w:rsid w:val="001427E1"/>
    <w:rsid w:val="0014589B"/>
    <w:rsid w:val="00161D6B"/>
    <w:rsid w:val="00170C1D"/>
    <w:rsid w:val="00173455"/>
    <w:rsid w:val="00174994"/>
    <w:rsid w:val="001773AD"/>
    <w:rsid w:val="00180098"/>
    <w:rsid w:val="001830EB"/>
    <w:rsid w:val="001834B1"/>
    <w:rsid w:val="00187149"/>
    <w:rsid w:val="00194169"/>
    <w:rsid w:val="00194198"/>
    <w:rsid w:val="00194E05"/>
    <w:rsid w:val="00196B4D"/>
    <w:rsid w:val="001A3B2A"/>
    <w:rsid w:val="001A559E"/>
    <w:rsid w:val="001B06F9"/>
    <w:rsid w:val="001B19DA"/>
    <w:rsid w:val="001B2016"/>
    <w:rsid w:val="001B210E"/>
    <w:rsid w:val="001B2E93"/>
    <w:rsid w:val="001B2F52"/>
    <w:rsid w:val="001B5A3A"/>
    <w:rsid w:val="001B7CCF"/>
    <w:rsid w:val="001C15A0"/>
    <w:rsid w:val="001D32F0"/>
    <w:rsid w:val="001D6159"/>
    <w:rsid w:val="001D6575"/>
    <w:rsid w:val="001E0D16"/>
    <w:rsid w:val="001E2274"/>
    <w:rsid w:val="001E623B"/>
    <w:rsid w:val="001E6AF9"/>
    <w:rsid w:val="001F4D12"/>
    <w:rsid w:val="001F75ED"/>
    <w:rsid w:val="00200B67"/>
    <w:rsid w:val="00206587"/>
    <w:rsid w:val="00207B0B"/>
    <w:rsid w:val="00211134"/>
    <w:rsid w:val="002140F6"/>
    <w:rsid w:val="0021569F"/>
    <w:rsid w:val="00226A9B"/>
    <w:rsid w:val="00227F40"/>
    <w:rsid w:val="00241D66"/>
    <w:rsid w:val="00242A04"/>
    <w:rsid w:val="00243ABB"/>
    <w:rsid w:val="00245D81"/>
    <w:rsid w:val="00246DEC"/>
    <w:rsid w:val="00246E43"/>
    <w:rsid w:val="0025377A"/>
    <w:rsid w:val="00257792"/>
    <w:rsid w:val="0026215F"/>
    <w:rsid w:val="00265CBC"/>
    <w:rsid w:val="0027284C"/>
    <w:rsid w:val="00281C63"/>
    <w:rsid w:val="002827C9"/>
    <w:rsid w:val="00282A18"/>
    <w:rsid w:val="0028515D"/>
    <w:rsid w:val="00285BAD"/>
    <w:rsid w:val="00286391"/>
    <w:rsid w:val="00287410"/>
    <w:rsid w:val="00287E3A"/>
    <w:rsid w:val="00297783"/>
    <w:rsid w:val="00297D22"/>
    <w:rsid w:val="002A2826"/>
    <w:rsid w:val="002A3B89"/>
    <w:rsid w:val="002A44DA"/>
    <w:rsid w:val="002A6477"/>
    <w:rsid w:val="002B552F"/>
    <w:rsid w:val="002C1934"/>
    <w:rsid w:val="002C235E"/>
    <w:rsid w:val="002C3461"/>
    <w:rsid w:val="002C51C1"/>
    <w:rsid w:val="002D3216"/>
    <w:rsid w:val="002D4CA9"/>
    <w:rsid w:val="002D73A9"/>
    <w:rsid w:val="002D7609"/>
    <w:rsid w:val="002E357C"/>
    <w:rsid w:val="002E53FC"/>
    <w:rsid w:val="002F018C"/>
    <w:rsid w:val="002F413D"/>
    <w:rsid w:val="002F6EF1"/>
    <w:rsid w:val="002F7021"/>
    <w:rsid w:val="00302387"/>
    <w:rsid w:val="00305B22"/>
    <w:rsid w:val="00306BD6"/>
    <w:rsid w:val="00307CF1"/>
    <w:rsid w:val="003131E3"/>
    <w:rsid w:val="00317487"/>
    <w:rsid w:val="00323B4B"/>
    <w:rsid w:val="00323BFE"/>
    <w:rsid w:val="00333296"/>
    <w:rsid w:val="00336968"/>
    <w:rsid w:val="00337A02"/>
    <w:rsid w:val="00340EFB"/>
    <w:rsid w:val="00341065"/>
    <w:rsid w:val="00347D97"/>
    <w:rsid w:val="00350919"/>
    <w:rsid w:val="003612E7"/>
    <w:rsid w:val="00362BF0"/>
    <w:rsid w:val="00364E8A"/>
    <w:rsid w:val="00367E15"/>
    <w:rsid w:val="003705A5"/>
    <w:rsid w:val="00370E5A"/>
    <w:rsid w:val="00373B23"/>
    <w:rsid w:val="00374D71"/>
    <w:rsid w:val="00380762"/>
    <w:rsid w:val="003813ED"/>
    <w:rsid w:val="0038256F"/>
    <w:rsid w:val="00382C47"/>
    <w:rsid w:val="00386092"/>
    <w:rsid w:val="003861F2"/>
    <w:rsid w:val="00390A8F"/>
    <w:rsid w:val="00396E53"/>
    <w:rsid w:val="003A19F3"/>
    <w:rsid w:val="003A2C73"/>
    <w:rsid w:val="003A3738"/>
    <w:rsid w:val="003B1B84"/>
    <w:rsid w:val="003B204C"/>
    <w:rsid w:val="003B2C2A"/>
    <w:rsid w:val="003B442D"/>
    <w:rsid w:val="003B4FE5"/>
    <w:rsid w:val="003B635D"/>
    <w:rsid w:val="003C3367"/>
    <w:rsid w:val="003C47E9"/>
    <w:rsid w:val="003C506C"/>
    <w:rsid w:val="003D085C"/>
    <w:rsid w:val="003D17E4"/>
    <w:rsid w:val="003D24BB"/>
    <w:rsid w:val="003D452C"/>
    <w:rsid w:val="003D4B42"/>
    <w:rsid w:val="003D4CD1"/>
    <w:rsid w:val="003D4E7D"/>
    <w:rsid w:val="003D61A8"/>
    <w:rsid w:val="003D6D9D"/>
    <w:rsid w:val="003E2B54"/>
    <w:rsid w:val="003E35EE"/>
    <w:rsid w:val="003E4AF2"/>
    <w:rsid w:val="003E7F52"/>
    <w:rsid w:val="003F0C61"/>
    <w:rsid w:val="003F2822"/>
    <w:rsid w:val="003F51F0"/>
    <w:rsid w:val="003F5617"/>
    <w:rsid w:val="004016DB"/>
    <w:rsid w:val="004029C4"/>
    <w:rsid w:val="00402AB0"/>
    <w:rsid w:val="00404CD8"/>
    <w:rsid w:val="00405540"/>
    <w:rsid w:val="00412FD9"/>
    <w:rsid w:val="004149EB"/>
    <w:rsid w:val="00416B98"/>
    <w:rsid w:val="004240D9"/>
    <w:rsid w:val="004247B3"/>
    <w:rsid w:val="00424C95"/>
    <w:rsid w:val="004275E0"/>
    <w:rsid w:val="004325B0"/>
    <w:rsid w:val="004370DB"/>
    <w:rsid w:val="00442219"/>
    <w:rsid w:val="00444AEE"/>
    <w:rsid w:val="00444FED"/>
    <w:rsid w:val="0044580B"/>
    <w:rsid w:val="00446A18"/>
    <w:rsid w:val="0045038C"/>
    <w:rsid w:val="00451E70"/>
    <w:rsid w:val="00452489"/>
    <w:rsid w:val="00453FC8"/>
    <w:rsid w:val="00454537"/>
    <w:rsid w:val="00464183"/>
    <w:rsid w:val="004657FE"/>
    <w:rsid w:val="00465B97"/>
    <w:rsid w:val="00466882"/>
    <w:rsid w:val="004729DB"/>
    <w:rsid w:val="00474D03"/>
    <w:rsid w:val="00475410"/>
    <w:rsid w:val="00476FB6"/>
    <w:rsid w:val="00480645"/>
    <w:rsid w:val="004815B8"/>
    <w:rsid w:val="004903D7"/>
    <w:rsid w:val="00497EB1"/>
    <w:rsid w:val="004A2A50"/>
    <w:rsid w:val="004A6C8A"/>
    <w:rsid w:val="004B18BE"/>
    <w:rsid w:val="004C0ACA"/>
    <w:rsid w:val="004C3242"/>
    <w:rsid w:val="004C6A4B"/>
    <w:rsid w:val="004C7C2D"/>
    <w:rsid w:val="004D0684"/>
    <w:rsid w:val="004D27BC"/>
    <w:rsid w:val="004D6232"/>
    <w:rsid w:val="004E30F7"/>
    <w:rsid w:val="004E3C6F"/>
    <w:rsid w:val="004E5C4C"/>
    <w:rsid w:val="004E6E15"/>
    <w:rsid w:val="004E7918"/>
    <w:rsid w:val="004F254B"/>
    <w:rsid w:val="004F7242"/>
    <w:rsid w:val="00500F2A"/>
    <w:rsid w:val="0050104D"/>
    <w:rsid w:val="005078CA"/>
    <w:rsid w:val="00512DB0"/>
    <w:rsid w:val="00515835"/>
    <w:rsid w:val="00515D4A"/>
    <w:rsid w:val="00522CD6"/>
    <w:rsid w:val="00523855"/>
    <w:rsid w:val="00530C1C"/>
    <w:rsid w:val="005357A0"/>
    <w:rsid w:val="00540F74"/>
    <w:rsid w:val="0054338D"/>
    <w:rsid w:val="00553C96"/>
    <w:rsid w:val="00554D10"/>
    <w:rsid w:val="00562AC0"/>
    <w:rsid w:val="00565443"/>
    <w:rsid w:val="00567478"/>
    <w:rsid w:val="00572431"/>
    <w:rsid w:val="005724B7"/>
    <w:rsid w:val="00572D05"/>
    <w:rsid w:val="005755FA"/>
    <w:rsid w:val="005765C9"/>
    <w:rsid w:val="00584A2F"/>
    <w:rsid w:val="005862F3"/>
    <w:rsid w:val="00586EBB"/>
    <w:rsid w:val="005945B8"/>
    <w:rsid w:val="00594E9D"/>
    <w:rsid w:val="00595937"/>
    <w:rsid w:val="00596F6E"/>
    <w:rsid w:val="005973BB"/>
    <w:rsid w:val="005A0A2B"/>
    <w:rsid w:val="005A349D"/>
    <w:rsid w:val="005A7A28"/>
    <w:rsid w:val="005B0D21"/>
    <w:rsid w:val="005B1B85"/>
    <w:rsid w:val="005C23D0"/>
    <w:rsid w:val="005C5921"/>
    <w:rsid w:val="005E11BB"/>
    <w:rsid w:val="005E161F"/>
    <w:rsid w:val="005E4DE0"/>
    <w:rsid w:val="005E6C3B"/>
    <w:rsid w:val="005F03FD"/>
    <w:rsid w:val="005F082B"/>
    <w:rsid w:val="005F1115"/>
    <w:rsid w:val="005F1AD4"/>
    <w:rsid w:val="005F69F8"/>
    <w:rsid w:val="006142BF"/>
    <w:rsid w:val="00615D77"/>
    <w:rsid w:val="0062209F"/>
    <w:rsid w:val="00624673"/>
    <w:rsid w:val="00624941"/>
    <w:rsid w:val="00625F13"/>
    <w:rsid w:val="00626BCA"/>
    <w:rsid w:val="0063177A"/>
    <w:rsid w:val="006343A1"/>
    <w:rsid w:val="00641C6A"/>
    <w:rsid w:val="006437BB"/>
    <w:rsid w:val="00652E4F"/>
    <w:rsid w:val="00656E61"/>
    <w:rsid w:val="006571F6"/>
    <w:rsid w:val="00660009"/>
    <w:rsid w:val="00660513"/>
    <w:rsid w:val="00660AA2"/>
    <w:rsid w:val="00662BA2"/>
    <w:rsid w:val="006639B5"/>
    <w:rsid w:val="00667A8E"/>
    <w:rsid w:val="00670266"/>
    <w:rsid w:val="00671346"/>
    <w:rsid w:val="0067282A"/>
    <w:rsid w:val="006751EB"/>
    <w:rsid w:val="00677CB5"/>
    <w:rsid w:val="006824A6"/>
    <w:rsid w:val="00685EDF"/>
    <w:rsid w:val="0069216C"/>
    <w:rsid w:val="006929E3"/>
    <w:rsid w:val="006930BF"/>
    <w:rsid w:val="00696F0F"/>
    <w:rsid w:val="006A35CE"/>
    <w:rsid w:val="006A3BB8"/>
    <w:rsid w:val="006A5D65"/>
    <w:rsid w:val="006A60DD"/>
    <w:rsid w:val="006C0F34"/>
    <w:rsid w:val="006C374B"/>
    <w:rsid w:val="006C479B"/>
    <w:rsid w:val="006C527D"/>
    <w:rsid w:val="006D00EF"/>
    <w:rsid w:val="006D24ED"/>
    <w:rsid w:val="006D280D"/>
    <w:rsid w:val="006D38F5"/>
    <w:rsid w:val="006E1669"/>
    <w:rsid w:val="006E306F"/>
    <w:rsid w:val="006E3197"/>
    <w:rsid w:val="006E39A8"/>
    <w:rsid w:val="006E4108"/>
    <w:rsid w:val="006E5E2E"/>
    <w:rsid w:val="006E66AE"/>
    <w:rsid w:val="006F054F"/>
    <w:rsid w:val="006F3015"/>
    <w:rsid w:val="006F3D3D"/>
    <w:rsid w:val="006F4D59"/>
    <w:rsid w:val="006F6FCF"/>
    <w:rsid w:val="006F71D2"/>
    <w:rsid w:val="006F7F42"/>
    <w:rsid w:val="007121D0"/>
    <w:rsid w:val="0071244F"/>
    <w:rsid w:val="00713E36"/>
    <w:rsid w:val="00716B7F"/>
    <w:rsid w:val="007207B1"/>
    <w:rsid w:val="00725C4A"/>
    <w:rsid w:val="00727EBE"/>
    <w:rsid w:val="00731CEA"/>
    <w:rsid w:val="007407DF"/>
    <w:rsid w:val="00745047"/>
    <w:rsid w:val="00747826"/>
    <w:rsid w:val="0075293E"/>
    <w:rsid w:val="00754E17"/>
    <w:rsid w:val="00755724"/>
    <w:rsid w:val="00755AE0"/>
    <w:rsid w:val="0076055E"/>
    <w:rsid w:val="0076203C"/>
    <w:rsid w:val="00763BE8"/>
    <w:rsid w:val="0076469A"/>
    <w:rsid w:val="007669E2"/>
    <w:rsid w:val="00771488"/>
    <w:rsid w:val="007721C4"/>
    <w:rsid w:val="00775912"/>
    <w:rsid w:val="007761B4"/>
    <w:rsid w:val="00784C1E"/>
    <w:rsid w:val="0078550F"/>
    <w:rsid w:val="00785E52"/>
    <w:rsid w:val="0078739C"/>
    <w:rsid w:val="00790D4C"/>
    <w:rsid w:val="00792A6D"/>
    <w:rsid w:val="00794C94"/>
    <w:rsid w:val="007A6636"/>
    <w:rsid w:val="007B3FBA"/>
    <w:rsid w:val="007B4DA8"/>
    <w:rsid w:val="007B74DC"/>
    <w:rsid w:val="007B7BE1"/>
    <w:rsid w:val="007C1A55"/>
    <w:rsid w:val="007C3459"/>
    <w:rsid w:val="007C4A8E"/>
    <w:rsid w:val="007C6BB3"/>
    <w:rsid w:val="007D165E"/>
    <w:rsid w:val="007D69B2"/>
    <w:rsid w:val="007E063F"/>
    <w:rsid w:val="007E3717"/>
    <w:rsid w:val="007E400A"/>
    <w:rsid w:val="007E4C61"/>
    <w:rsid w:val="007E4EBC"/>
    <w:rsid w:val="007F4A46"/>
    <w:rsid w:val="007F5DCF"/>
    <w:rsid w:val="00810D0A"/>
    <w:rsid w:val="0081178D"/>
    <w:rsid w:val="008214FC"/>
    <w:rsid w:val="0082532F"/>
    <w:rsid w:val="00825BA4"/>
    <w:rsid w:val="00827B87"/>
    <w:rsid w:val="0083586D"/>
    <w:rsid w:val="00837E97"/>
    <w:rsid w:val="00863E63"/>
    <w:rsid w:val="00872CA1"/>
    <w:rsid w:val="00885EE9"/>
    <w:rsid w:val="00886F60"/>
    <w:rsid w:val="0089087A"/>
    <w:rsid w:val="00892333"/>
    <w:rsid w:val="0089723D"/>
    <w:rsid w:val="008A18D6"/>
    <w:rsid w:val="008A1AA2"/>
    <w:rsid w:val="008A28CC"/>
    <w:rsid w:val="008A63C0"/>
    <w:rsid w:val="008A7BE8"/>
    <w:rsid w:val="008B12E9"/>
    <w:rsid w:val="008B7179"/>
    <w:rsid w:val="008C4299"/>
    <w:rsid w:val="008D654D"/>
    <w:rsid w:val="008F4BDA"/>
    <w:rsid w:val="008F4CCF"/>
    <w:rsid w:val="008F6EE2"/>
    <w:rsid w:val="00902134"/>
    <w:rsid w:val="00903040"/>
    <w:rsid w:val="00903076"/>
    <w:rsid w:val="00905C25"/>
    <w:rsid w:val="0090683E"/>
    <w:rsid w:val="00910A88"/>
    <w:rsid w:val="009149C3"/>
    <w:rsid w:val="009155E1"/>
    <w:rsid w:val="00924429"/>
    <w:rsid w:val="009336DE"/>
    <w:rsid w:val="00943664"/>
    <w:rsid w:val="00945284"/>
    <w:rsid w:val="00947809"/>
    <w:rsid w:val="009513F5"/>
    <w:rsid w:val="009544EA"/>
    <w:rsid w:val="009567F8"/>
    <w:rsid w:val="00974E8C"/>
    <w:rsid w:val="0097677E"/>
    <w:rsid w:val="0098740B"/>
    <w:rsid w:val="00992240"/>
    <w:rsid w:val="00992AB3"/>
    <w:rsid w:val="00997EE5"/>
    <w:rsid w:val="009A0D7C"/>
    <w:rsid w:val="009A1825"/>
    <w:rsid w:val="009A206B"/>
    <w:rsid w:val="009A7EC4"/>
    <w:rsid w:val="009B2A34"/>
    <w:rsid w:val="009B7C91"/>
    <w:rsid w:val="009C4E35"/>
    <w:rsid w:val="009C593F"/>
    <w:rsid w:val="009C6ED4"/>
    <w:rsid w:val="009C7557"/>
    <w:rsid w:val="009D3A51"/>
    <w:rsid w:val="009E1134"/>
    <w:rsid w:val="009E5B91"/>
    <w:rsid w:val="009E5F8B"/>
    <w:rsid w:val="009E77A6"/>
    <w:rsid w:val="009F0275"/>
    <w:rsid w:val="009F03F7"/>
    <w:rsid w:val="009F151A"/>
    <w:rsid w:val="009F7789"/>
    <w:rsid w:val="009F7EC3"/>
    <w:rsid w:val="009F7F0F"/>
    <w:rsid w:val="00A010B4"/>
    <w:rsid w:val="00A03CF7"/>
    <w:rsid w:val="00A07E16"/>
    <w:rsid w:val="00A14125"/>
    <w:rsid w:val="00A22AC8"/>
    <w:rsid w:val="00A24FF8"/>
    <w:rsid w:val="00A26701"/>
    <w:rsid w:val="00A30503"/>
    <w:rsid w:val="00A41905"/>
    <w:rsid w:val="00A477C1"/>
    <w:rsid w:val="00A51614"/>
    <w:rsid w:val="00A51C0B"/>
    <w:rsid w:val="00A56329"/>
    <w:rsid w:val="00A61A35"/>
    <w:rsid w:val="00A62F61"/>
    <w:rsid w:val="00A636C7"/>
    <w:rsid w:val="00A655B8"/>
    <w:rsid w:val="00A7049D"/>
    <w:rsid w:val="00A717E8"/>
    <w:rsid w:val="00A74FE5"/>
    <w:rsid w:val="00A7532F"/>
    <w:rsid w:val="00A81813"/>
    <w:rsid w:val="00A82244"/>
    <w:rsid w:val="00A82491"/>
    <w:rsid w:val="00A86A02"/>
    <w:rsid w:val="00A87FE3"/>
    <w:rsid w:val="00A91C30"/>
    <w:rsid w:val="00A93981"/>
    <w:rsid w:val="00A963B5"/>
    <w:rsid w:val="00AA7474"/>
    <w:rsid w:val="00AA7EA1"/>
    <w:rsid w:val="00AB0761"/>
    <w:rsid w:val="00AB424D"/>
    <w:rsid w:val="00AB7F7E"/>
    <w:rsid w:val="00AC0F7F"/>
    <w:rsid w:val="00AC46E2"/>
    <w:rsid w:val="00AC4B86"/>
    <w:rsid w:val="00AC5641"/>
    <w:rsid w:val="00AC7003"/>
    <w:rsid w:val="00AC7204"/>
    <w:rsid w:val="00AC782C"/>
    <w:rsid w:val="00AD10CD"/>
    <w:rsid w:val="00AD5004"/>
    <w:rsid w:val="00AD7DE5"/>
    <w:rsid w:val="00AE3716"/>
    <w:rsid w:val="00AE5751"/>
    <w:rsid w:val="00AE6751"/>
    <w:rsid w:val="00AE7979"/>
    <w:rsid w:val="00AF1A6C"/>
    <w:rsid w:val="00AF4465"/>
    <w:rsid w:val="00AF5C3F"/>
    <w:rsid w:val="00AF5F45"/>
    <w:rsid w:val="00B0709B"/>
    <w:rsid w:val="00B0764E"/>
    <w:rsid w:val="00B17CA1"/>
    <w:rsid w:val="00B22D6F"/>
    <w:rsid w:val="00B241E6"/>
    <w:rsid w:val="00B242C3"/>
    <w:rsid w:val="00B24EB8"/>
    <w:rsid w:val="00B332FF"/>
    <w:rsid w:val="00B34683"/>
    <w:rsid w:val="00B36BF1"/>
    <w:rsid w:val="00B45A0E"/>
    <w:rsid w:val="00B46C1D"/>
    <w:rsid w:val="00B56A7D"/>
    <w:rsid w:val="00B64D28"/>
    <w:rsid w:val="00B6537A"/>
    <w:rsid w:val="00B654DB"/>
    <w:rsid w:val="00B65ADD"/>
    <w:rsid w:val="00B6625E"/>
    <w:rsid w:val="00B81DE1"/>
    <w:rsid w:val="00B831BD"/>
    <w:rsid w:val="00B834E1"/>
    <w:rsid w:val="00B83AF7"/>
    <w:rsid w:val="00B85D11"/>
    <w:rsid w:val="00B9039C"/>
    <w:rsid w:val="00B93DF5"/>
    <w:rsid w:val="00B96812"/>
    <w:rsid w:val="00B9702F"/>
    <w:rsid w:val="00BA1575"/>
    <w:rsid w:val="00BA2E9E"/>
    <w:rsid w:val="00BA44C6"/>
    <w:rsid w:val="00BA7C9B"/>
    <w:rsid w:val="00BB27C9"/>
    <w:rsid w:val="00BB2F46"/>
    <w:rsid w:val="00BB614A"/>
    <w:rsid w:val="00BB6E4F"/>
    <w:rsid w:val="00BB75BC"/>
    <w:rsid w:val="00BB7CFC"/>
    <w:rsid w:val="00BC1D28"/>
    <w:rsid w:val="00BC295B"/>
    <w:rsid w:val="00BC3DCF"/>
    <w:rsid w:val="00BC655A"/>
    <w:rsid w:val="00BC6B91"/>
    <w:rsid w:val="00BC7CDA"/>
    <w:rsid w:val="00BD010E"/>
    <w:rsid w:val="00BD116E"/>
    <w:rsid w:val="00BD3E5B"/>
    <w:rsid w:val="00BD4F52"/>
    <w:rsid w:val="00BD5079"/>
    <w:rsid w:val="00BD626C"/>
    <w:rsid w:val="00BE1E7D"/>
    <w:rsid w:val="00BE2D15"/>
    <w:rsid w:val="00BE642A"/>
    <w:rsid w:val="00BE7867"/>
    <w:rsid w:val="00BF19E8"/>
    <w:rsid w:val="00BF1E4A"/>
    <w:rsid w:val="00BF6042"/>
    <w:rsid w:val="00BF6335"/>
    <w:rsid w:val="00BF653B"/>
    <w:rsid w:val="00BF7CCD"/>
    <w:rsid w:val="00C0049A"/>
    <w:rsid w:val="00C0050E"/>
    <w:rsid w:val="00C00EEB"/>
    <w:rsid w:val="00C051B0"/>
    <w:rsid w:val="00C06E60"/>
    <w:rsid w:val="00C10517"/>
    <w:rsid w:val="00C111A1"/>
    <w:rsid w:val="00C11D0E"/>
    <w:rsid w:val="00C14496"/>
    <w:rsid w:val="00C17970"/>
    <w:rsid w:val="00C21732"/>
    <w:rsid w:val="00C2465A"/>
    <w:rsid w:val="00C2578B"/>
    <w:rsid w:val="00C313C5"/>
    <w:rsid w:val="00C33B46"/>
    <w:rsid w:val="00C44459"/>
    <w:rsid w:val="00C46726"/>
    <w:rsid w:val="00C468AE"/>
    <w:rsid w:val="00C47E2B"/>
    <w:rsid w:val="00C50683"/>
    <w:rsid w:val="00C545AB"/>
    <w:rsid w:val="00C549C0"/>
    <w:rsid w:val="00C62484"/>
    <w:rsid w:val="00C63AAE"/>
    <w:rsid w:val="00C668A0"/>
    <w:rsid w:val="00C70B18"/>
    <w:rsid w:val="00C734C1"/>
    <w:rsid w:val="00C737EB"/>
    <w:rsid w:val="00C7398A"/>
    <w:rsid w:val="00C76B9E"/>
    <w:rsid w:val="00C8014E"/>
    <w:rsid w:val="00C83C65"/>
    <w:rsid w:val="00C866FB"/>
    <w:rsid w:val="00C92496"/>
    <w:rsid w:val="00C92543"/>
    <w:rsid w:val="00C93EB9"/>
    <w:rsid w:val="00C94555"/>
    <w:rsid w:val="00C97752"/>
    <w:rsid w:val="00CA49C6"/>
    <w:rsid w:val="00CB2526"/>
    <w:rsid w:val="00CB75DA"/>
    <w:rsid w:val="00CB7889"/>
    <w:rsid w:val="00CC37C7"/>
    <w:rsid w:val="00CC5AFA"/>
    <w:rsid w:val="00CC628E"/>
    <w:rsid w:val="00CD04EF"/>
    <w:rsid w:val="00CD084B"/>
    <w:rsid w:val="00CD20F9"/>
    <w:rsid w:val="00CD4414"/>
    <w:rsid w:val="00CE07CE"/>
    <w:rsid w:val="00CE1A5B"/>
    <w:rsid w:val="00CE71F7"/>
    <w:rsid w:val="00CF00EA"/>
    <w:rsid w:val="00CF16AA"/>
    <w:rsid w:val="00CF3779"/>
    <w:rsid w:val="00CF4955"/>
    <w:rsid w:val="00D047A7"/>
    <w:rsid w:val="00D066EF"/>
    <w:rsid w:val="00D10EF6"/>
    <w:rsid w:val="00D171AE"/>
    <w:rsid w:val="00D24642"/>
    <w:rsid w:val="00D31277"/>
    <w:rsid w:val="00D32553"/>
    <w:rsid w:val="00D35019"/>
    <w:rsid w:val="00D378DD"/>
    <w:rsid w:val="00D53AB3"/>
    <w:rsid w:val="00D5671E"/>
    <w:rsid w:val="00D609E2"/>
    <w:rsid w:val="00D629AA"/>
    <w:rsid w:val="00D6608F"/>
    <w:rsid w:val="00D70ACB"/>
    <w:rsid w:val="00D722DF"/>
    <w:rsid w:val="00D75C1A"/>
    <w:rsid w:val="00D77E05"/>
    <w:rsid w:val="00D81E4F"/>
    <w:rsid w:val="00D943F8"/>
    <w:rsid w:val="00D94838"/>
    <w:rsid w:val="00D96194"/>
    <w:rsid w:val="00D96B50"/>
    <w:rsid w:val="00DB0579"/>
    <w:rsid w:val="00DB2C3F"/>
    <w:rsid w:val="00DB4092"/>
    <w:rsid w:val="00DB4486"/>
    <w:rsid w:val="00DC3282"/>
    <w:rsid w:val="00DC40E6"/>
    <w:rsid w:val="00DC660C"/>
    <w:rsid w:val="00DD1FD9"/>
    <w:rsid w:val="00DD2EDC"/>
    <w:rsid w:val="00DD7244"/>
    <w:rsid w:val="00DE2737"/>
    <w:rsid w:val="00DE33B6"/>
    <w:rsid w:val="00DE3D81"/>
    <w:rsid w:val="00DE4E18"/>
    <w:rsid w:val="00DE60F3"/>
    <w:rsid w:val="00DF38B9"/>
    <w:rsid w:val="00DF4C58"/>
    <w:rsid w:val="00DF5583"/>
    <w:rsid w:val="00DF7563"/>
    <w:rsid w:val="00E01C27"/>
    <w:rsid w:val="00E051C1"/>
    <w:rsid w:val="00E05455"/>
    <w:rsid w:val="00E06128"/>
    <w:rsid w:val="00E063CB"/>
    <w:rsid w:val="00E0677F"/>
    <w:rsid w:val="00E07B68"/>
    <w:rsid w:val="00E10478"/>
    <w:rsid w:val="00E16A14"/>
    <w:rsid w:val="00E2067F"/>
    <w:rsid w:val="00E218D6"/>
    <w:rsid w:val="00E21D6C"/>
    <w:rsid w:val="00E21EBC"/>
    <w:rsid w:val="00E22638"/>
    <w:rsid w:val="00E25E2D"/>
    <w:rsid w:val="00E31B5D"/>
    <w:rsid w:val="00E32512"/>
    <w:rsid w:val="00E34A98"/>
    <w:rsid w:val="00E36300"/>
    <w:rsid w:val="00E373D6"/>
    <w:rsid w:val="00E44246"/>
    <w:rsid w:val="00E47379"/>
    <w:rsid w:val="00E516A2"/>
    <w:rsid w:val="00E52850"/>
    <w:rsid w:val="00E5378E"/>
    <w:rsid w:val="00E62104"/>
    <w:rsid w:val="00E63366"/>
    <w:rsid w:val="00E65520"/>
    <w:rsid w:val="00E718CC"/>
    <w:rsid w:val="00E723CC"/>
    <w:rsid w:val="00E74CAD"/>
    <w:rsid w:val="00E755CA"/>
    <w:rsid w:val="00E77B3F"/>
    <w:rsid w:val="00E81BC3"/>
    <w:rsid w:val="00E82648"/>
    <w:rsid w:val="00E82C07"/>
    <w:rsid w:val="00E83B25"/>
    <w:rsid w:val="00E91B81"/>
    <w:rsid w:val="00E94A2C"/>
    <w:rsid w:val="00EA20F8"/>
    <w:rsid w:val="00EA475A"/>
    <w:rsid w:val="00EB528D"/>
    <w:rsid w:val="00EB59DB"/>
    <w:rsid w:val="00EB63FB"/>
    <w:rsid w:val="00EC1EF1"/>
    <w:rsid w:val="00EC2F73"/>
    <w:rsid w:val="00EC3094"/>
    <w:rsid w:val="00EC3958"/>
    <w:rsid w:val="00EC668A"/>
    <w:rsid w:val="00EC74E8"/>
    <w:rsid w:val="00EC7A2C"/>
    <w:rsid w:val="00ED06F1"/>
    <w:rsid w:val="00ED2FF8"/>
    <w:rsid w:val="00ED62E3"/>
    <w:rsid w:val="00ED6684"/>
    <w:rsid w:val="00EE0700"/>
    <w:rsid w:val="00EF256E"/>
    <w:rsid w:val="00EF3296"/>
    <w:rsid w:val="00EF330A"/>
    <w:rsid w:val="00EF6FE1"/>
    <w:rsid w:val="00F05431"/>
    <w:rsid w:val="00F136DB"/>
    <w:rsid w:val="00F20F10"/>
    <w:rsid w:val="00F27452"/>
    <w:rsid w:val="00F2760E"/>
    <w:rsid w:val="00F337ED"/>
    <w:rsid w:val="00F36738"/>
    <w:rsid w:val="00F41172"/>
    <w:rsid w:val="00F42860"/>
    <w:rsid w:val="00F42D69"/>
    <w:rsid w:val="00F44E01"/>
    <w:rsid w:val="00F624ED"/>
    <w:rsid w:val="00F63C41"/>
    <w:rsid w:val="00F64765"/>
    <w:rsid w:val="00F64AA5"/>
    <w:rsid w:val="00F653ED"/>
    <w:rsid w:val="00F662BC"/>
    <w:rsid w:val="00F72A6A"/>
    <w:rsid w:val="00F73E1A"/>
    <w:rsid w:val="00F76738"/>
    <w:rsid w:val="00F769D5"/>
    <w:rsid w:val="00F77D64"/>
    <w:rsid w:val="00F8067C"/>
    <w:rsid w:val="00F83660"/>
    <w:rsid w:val="00F8535A"/>
    <w:rsid w:val="00F92323"/>
    <w:rsid w:val="00F9280C"/>
    <w:rsid w:val="00F933B6"/>
    <w:rsid w:val="00F9456B"/>
    <w:rsid w:val="00F95806"/>
    <w:rsid w:val="00F97C2B"/>
    <w:rsid w:val="00FA314D"/>
    <w:rsid w:val="00FA4E7E"/>
    <w:rsid w:val="00FA4F5A"/>
    <w:rsid w:val="00FA59D4"/>
    <w:rsid w:val="00FA7911"/>
    <w:rsid w:val="00FA7BF2"/>
    <w:rsid w:val="00FB4781"/>
    <w:rsid w:val="00FB7015"/>
    <w:rsid w:val="00FC2F11"/>
    <w:rsid w:val="00FC3EEE"/>
    <w:rsid w:val="00FC5761"/>
    <w:rsid w:val="00FD05E6"/>
    <w:rsid w:val="00FE064F"/>
    <w:rsid w:val="00FE7DCD"/>
    <w:rsid w:val="00FF1022"/>
    <w:rsid w:val="00FF1076"/>
    <w:rsid w:val="00FF3B67"/>
    <w:rsid w:val="00FF4FE9"/>
    <w:rsid w:val="00FF5835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1940"/>
  <w15:chartTrackingRefBased/>
  <w15:docId w15:val="{BE4829EE-D588-42D9-B556-7746C65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370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8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7609"/>
    <w:rPr>
      <w:b/>
      <w:bCs/>
    </w:rPr>
  </w:style>
  <w:style w:type="character" w:customStyle="1" w:styleId="apple-converted-space">
    <w:name w:val="apple-converted-space"/>
    <w:basedOn w:val="Domylnaczcionkaakapitu"/>
    <w:rsid w:val="002D7609"/>
  </w:style>
  <w:style w:type="character" w:styleId="Odwoaniedokomentarza">
    <w:name w:val="annotation reference"/>
    <w:basedOn w:val="Domylnaczcionkaakapitu"/>
    <w:uiPriority w:val="99"/>
    <w:semiHidden/>
    <w:unhideWhenUsed/>
    <w:rsid w:val="00D9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B50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B5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50"/>
    <w:rPr>
      <w:rFonts w:ascii="Calibri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B701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D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0B298E"/>
  </w:style>
  <w:style w:type="character" w:customStyle="1" w:styleId="hiddenspellerror">
    <w:name w:val="hiddenspellerror"/>
    <w:basedOn w:val="Domylnaczcionkaakapitu"/>
    <w:rsid w:val="000B298E"/>
  </w:style>
  <w:style w:type="character" w:customStyle="1" w:styleId="hiddensuggestion">
    <w:name w:val="hiddensuggestion"/>
    <w:basedOn w:val="Domylnaczcionkaakapitu"/>
    <w:rsid w:val="000B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utunowicz.j\AppData\Local\Microsoft\Windows\INetCache\Content.Outlook\22B5HWU5\1.03.2022_Polski%20rynek%20pracy%20nie%20by&#322;%20przygotowany%20na%20wojn&#281;%20rozp&#281;tan&#261;%20przez%20Rosj&#281;.dotx" TargetMode="External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0C38-FFAB-41B1-888D-4055A882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C:\Users\makutunowicz.j\AppData\Local\Microsoft\Windows\INetCache\Content.Outlook\22B5HWU5\1.03.2022_Polski rynek pracy nie był przygotowany na wojnę rozpętaną przez Rosję.dotx</Template>
  <TotalTime>19</TotalTime>
  <Pages>3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Makutunowicz</dc:creator>
  <cp:keywords/>
  <dc:description/>
  <cp:lastModifiedBy>Kamila Tyniec</cp:lastModifiedBy>
  <cp:revision>4</cp:revision>
  <cp:lastPrinted>2022-10-12T13:19:00Z</cp:lastPrinted>
  <dcterms:created xsi:type="dcterms:W3CDTF">2023-01-30T13:33:00Z</dcterms:created>
  <dcterms:modified xsi:type="dcterms:W3CDTF">2023-01-31T09:18:00Z</dcterms:modified>
</cp:coreProperties>
</file>