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2E504EA6" w14:textId="506A843C" w:rsidR="00FB77FC" w:rsidRPr="00E05548" w:rsidRDefault="00FB77FC" w:rsidP="00E05548">
      <w:pPr>
        <w:jc w:val="right"/>
        <w:rPr>
          <w:b/>
          <w:color w:val="002060"/>
        </w:rPr>
      </w:pPr>
      <w:r w:rsidRPr="000924FC">
        <w:rPr>
          <w:b/>
          <w:color w:val="002060"/>
        </w:rPr>
        <w:t xml:space="preserve">Gdańsk, </w:t>
      </w:r>
      <w:r w:rsidR="00F4147B">
        <w:rPr>
          <w:b/>
          <w:color w:val="002060"/>
        </w:rPr>
        <w:t>9</w:t>
      </w:r>
      <w:r w:rsidRPr="000924FC">
        <w:rPr>
          <w:b/>
          <w:color w:val="002060"/>
        </w:rPr>
        <w:t>.0</w:t>
      </w:r>
      <w:r w:rsidR="000E4644">
        <w:rPr>
          <w:b/>
          <w:color w:val="002060"/>
        </w:rPr>
        <w:t>5</w:t>
      </w:r>
      <w:r w:rsidRPr="000924FC">
        <w:rPr>
          <w:b/>
          <w:color w:val="002060"/>
        </w:rPr>
        <w:t>.201</w:t>
      </w:r>
      <w:r>
        <w:rPr>
          <w:b/>
          <w:color w:val="002060"/>
        </w:rPr>
        <w:t>9</w:t>
      </w:r>
    </w:p>
    <w:p w14:paraId="59E60C2C" w14:textId="77777777" w:rsidR="00FB77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7E5A8204" w14:textId="77777777" w:rsidR="001A5D06" w:rsidRDefault="001A5D06" w:rsidP="001A5D0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002060"/>
          <w:sz w:val="28"/>
        </w:rPr>
      </w:pPr>
    </w:p>
    <w:p w14:paraId="1E0727A3" w14:textId="4056BAF8" w:rsidR="009F72E3" w:rsidRDefault="00833EEB" w:rsidP="00582646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2060"/>
          <w:sz w:val="28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2060"/>
          <w:sz w:val="28"/>
          <w:szCs w:val="24"/>
          <w:lang w:eastAsia="pl-PL"/>
        </w:rPr>
        <w:t>GRANICE</w:t>
      </w:r>
      <w:r w:rsidR="00582646" w:rsidRPr="00582646">
        <w:rPr>
          <w:rFonts w:asciiTheme="minorHAnsi" w:eastAsia="Times New Roman" w:hAnsiTheme="minorHAnsi" w:cstheme="minorHAnsi"/>
          <w:b/>
          <w:color w:val="002060"/>
          <w:sz w:val="28"/>
          <w:szCs w:val="24"/>
          <w:lang w:eastAsia="pl-PL"/>
        </w:rPr>
        <w:t xml:space="preserve"> KONTROLI W MIEJSCU PRACY</w:t>
      </w:r>
    </w:p>
    <w:p w14:paraId="080631C4" w14:textId="77777777" w:rsidR="00582646" w:rsidRDefault="00582646" w:rsidP="00582646">
      <w:pPr>
        <w:spacing w:line="276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629F4329" w14:textId="4927FC4E" w:rsidR="002B53AE" w:rsidRDefault="002B53AE" w:rsidP="00321C33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color w:val="002060"/>
          <w:sz w:val="24"/>
          <w:szCs w:val="24"/>
        </w:rPr>
        <w:t>Kamery</w:t>
      </w:r>
      <w:r w:rsidRPr="002B53AE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w 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>miejscu</w:t>
      </w:r>
      <w:r w:rsidRPr="002B53AE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pracy, monitoring poczty elektronicznej i komputerów czy zamontowany w autach służbowych GPS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to jedne z najczęściej stosowanych przez pracodawców form kontroli pracowników. Firmy idą jednak o krok dalej - </w:t>
      </w:r>
      <w:r w:rsidR="00210D38">
        <w:rPr>
          <w:rFonts w:asciiTheme="minorHAnsi" w:hAnsiTheme="minorHAnsi" w:cstheme="minorHAnsi"/>
          <w:b/>
          <w:color w:val="002060"/>
          <w:sz w:val="24"/>
          <w:szCs w:val="24"/>
        </w:rPr>
        <w:t>Belgia, Szwecja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czy</w:t>
      </w:r>
      <w:r w:rsidR="00210D38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Stany Zjednoczone to tylko niektóre z krajów, w których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pracownikom wszczepiane są chipy i takie </w:t>
      </w:r>
      <w:r w:rsidR="00C22A1E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działania 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 xml:space="preserve">rozważa coraz więcej organizacji. </w:t>
      </w:r>
    </w:p>
    <w:p w14:paraId="77D3CA01" w14:textId="63657E5B" w:rsidR="00BA1E41" w:rsidRDefault="00BA1E41" w:rsidP="00321C33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51DA2FFA" w14:textId="28542A14" w:rsidR="005161AE" w:rsidRDefault="001467B4" w:rsidP="00DB2285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1467B4">
        <w:rPr>
          <w:rFonts w:asciiTheme="minorHAnsi" w:hAnsiTheme="minorHAnsi" w:cstheme="minorHAnsi"/>
          <w:color w:val="002060"/>
          <w:sz w:val="24"/>
          <w:szCs w:val="24"/>
        </w:rPr>
        <w:t xml:space="preserve">Kontrola </w:t>
      </w:r>
      <w:r>
        <w:rPr>
          <w:rFonts w:asciiTheme="minorHAnsi" w:hAnsiTheme="minorHAnsi" w:cstheme="minorHAnsi"/>
          <w:color w:val="002060"/>
          <w:sz w:val="24"/>
          <w:szCs w:val="24"/>
        </w:rPr>
        <w:t>pracownika to</w:t>
      </w:r>
      <w:r w:rsidRPr="001467B4">
        <w:rPr>
          <w:rFonts w:asciiTheme="minorHAnsi" w:hAnsiTheme="minorHAnsi" w:cstheme="minorHAnsi"/>
          <w:color w:val="002060"/>
          <w:sz w:val="24"/>
          <w:szCs w:val="24"/>
        </w:rPr>
        <w:t xml:space="preserve"> temat dość niepopularny, ale kluczowy i niezbędny w każdej organizacji.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Większość firm informuje </w:t>
      </w:r>
      <w:r w:rsidR="00C22A1E">
        <w:rPr>
          <w:rFonts w:asciiTheme="minorHAnsi" w:hAnsiTheme="minorHAnsi" w:cstheme="minorHAnsi"/>
          <w:color w:val="002060"/>
          <w:sz w:val="24"/>
          <w:szCs w:val="24"/>
        </w:rPr>
        <w:t xml:space="preserve">o stosowanych formach nadzoru już </w:t>
      </w:r>
      <w:r w:rsidR="00C22A1E" w:rsidRPr="00C22A1E">
        <w:rPr>
          <w:rFonts w:asciiTheme="minorHAnsi" w:hAnsiTheme="minorHAnsi" w:cstheme="minorHAnsi"/>
          <w:color w:val="002060"/>
          <w:sz w:val="24"/>
          <w:szCs w:val="24"/>
        </w:rPr>
        <w:t>na etapie procesu rekrutacji</w:t>
      </w:r>
      <w:r w:rsidR="00C22A1E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="00C22A1E" w:rsidRPr="00C22A1E">
        <w:rPr>
          <w:rFonts w:asciiTheme="minorHAnsi" w:hAnsiTheme="minorHAnsi" w:cstheme="minorHAnsi"/>
          <w:color w:val="002060"/>
          <w:sz w:val="24"/>
          <w:szCs w:val="24"/>
        </w:rPr>
        <w:t>Wi</w:t>
      </w:r>
      <w:r w:rsidR="00C22A1E">
        <w:rPr>
          <w:rFonts w:asciiTheme="minorHAnsi" w:hAnsiTheme="minorHAnsi" w:cstheme="minorHAnsi"/>
          <w:color w:val="002060"/>
          <w:sz w:val="24"/>
          <w:szCs w:val="24"/>
        </w:rPr>
        <w:t xml:space="preserve">ele z nich </w:t>
      </w:r>
      <w:r w:rsidR="00C22A1E" w:rsidRPr="00C22A1E">
        <w:rPr>
          <w:rFonts w:asciiTheme="minorHAnsi" w:hAnsiTheme="minorHAnsi" w:cstheme="minorHAnsi"/>
          <w:color w:val="002060"/>
          <w:sz w:val="24"/>
          <w:szCs w:val="24"/>
        </w:rPr>
        <w:t>(monitoring video, monitorowanie komputerów i poczty elektronicznej) nie wymaga zgody pracownika</w:t>
      </w:r>
      <w:r w:rsidR="00C22A1E">
        <w:rPr>
          <w:rFonts w:asciiTheme="minorHAnsi" w:hAnsiTheme="minorHAnsi" w:cstheme="minorHAnsi"/>
          <w:color w:val="002060"/>
          <w:sz w:val="24"/>
          <w:szCs w:val="24"/>
        </w:rPr>
        <w:t xml:space="preserve">. Niektórzy pracodawcy wykorzystują ten fakt i nie </w:t>
      </w:r>
      <w:r w:rsidR="00DB2285">
        <w:rPr>
          <w:rFonts w:asciiTheme="minorHAnsi" w:hAnsiTheme="minorHAnsi" w:cstheme="minorHAnsi"/>
          <w:color w:val="002060"/>
          <w:sz w:val="24"/>
          <w:szCs w:val="24"/>
        </w:rPr>
        <w:t>powiadamiają</w:t>
      </w:r>
      <w:r w:rsidR="00C22A1E">
        <w:rPr>
          <w:rFonts w:asciiTheme="minorHAnsi" w:hAnsiTheme="minorHAnsi" w:cstheme="minorHAnsi"/>
          <w:color w:val="002060"/>
          <w:sz w:val="24"/>
          <w:szCs w:val="24"/>
        </w:rPr>
        <w:t xml:space="preserve"> zespołu o </w:t>
      </w:r>
      <w:r w:rsidR="00DB2285">
        <w:rPr>
          <w:rFonts w:asciiTheme="minorHAnsi" w:hAnsiTheme="minorHAnsi" w:cstheme="minorHAnsi"/>
          <w:color w:val="002060"/>
          <w:sz w:val="24"/>
          <w:szCs w:val="24"/>
        </w:rPr>
        <w:t xml:space="preserve">ich kontrolowaniu. 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 xml:space="preserve">Należy jednak pamiętać, że w żadnym przypadku pracodawca nie może przekraczać swoich uprawnień w zakresie </w:t>
      </w:r>
      <w:r w:rsidR="00DB2285">
        <w:rPr>
          <w:rFonts w:asciiTheme="minorHAnsi" w:hAnsiTheme="minorHAnsi" w:cstheme="minorHAnsi"/>
          <w:color w:val="002060"/>
          <w:sz w:val="24"/>
          <w:szCs w:val="24"/>
        </w:rPr>
        <w:t>nadzoru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 xml:space="preserve">, a pracownik </w:t>
      </w:r>
      <w:r w:rsidR="00DB2285">
        <w:rPr>
          <w:rFonts w:asciiTheme="minorHAnsi" w:hAnsiTheme="minorHAnsi" w:cstheme="minorHAnsi"/>
          <w:color w:val="002060"/>
          <w:sz w:val="24"/>
          <w:szCs w:val="24"/>
        </w:rPr>
        <w:t>ma prawo do po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>zna</w:t>
      </w:r>
      <w:r w:rsidR="00DB2285">
        <w:rPr>
          <w:rFonts w:asciiTheme="minorHAnsi" w:hAnsiTheme="minorHAnsi" w:cstheme="minorHAnsi"/>
          <w:color w:val="002060"/>
          <w:sz w:val="24"/>
          <w:szCs w:val="24"/>
        </w:rPr>
        <w:t>nia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 xml:space="preserve"> zakres</w:t>
      </w:r>
      <w:r w:rsidR="00DB2285">
        <w:rPr>
          <w:rFonts w:asciiTheme="minorHAnsi" w:hAnsiTheme="minorHAnsi" w:cstheme="minorHAnsi"/>
          <w:color w:val="002060"/>
          <w:sz w:val="24"/>
          <w:szCs w:val="24"/>
        </w:rPr>
        <w:t>u prowadzonej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 xml:space="preserve"> kontroli </w:t>
      </w:r>
      <w:r w:rsidR="00DB2285">
        <w:rPr>
          <w:rFonts w:asciiTheme="minorHAnsi" w:hAnsiTheme="minorHAnsi" w:cstheme="minorHAnsi"/>
          <w:color w:val="002060"/>
          <w:sz w:val="24"/>
          <w:szCs w:val="24"/>
        </w:rPr>
        <w:t xml:space="preserve">i te kwestie powinny być 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>ujęt</w:t>
      </w:r>
      <w:r w:rsidR="00DB2285">
        <w:rPr>
          <w:rFonts w:asciiTheme="minorHAnsi" w:hAnsiTheme="minorHAnsi" w:cstheme="minorHAnsi"/>
          <w:color w:val="002060"/>
          <w:sz w:val="24"/>
          <w:szCs w:val="24"/>
        </w:rPr>
        <w:t>e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 xml:space="preserve"> w regulaminie </w:t>
      </w:r>
      <w:r w:rsidR="007C17AF">
        <w:rPr>
          <w:rFonts w:asciiTheme="minorHAnsi" w:hAnsiTheme="minorHAnsi" w:cstheme="minorHAnsi"/>
          <w:color w:val="002060"/>
          <w:sz w:val="24"/>
          <w:szCs w:val="24"/>
        </w:rPr>
        <w:t>przedsiębiorstwa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 xml:space="preserve"> lub</w:t>
      </w:r>
      <w:r w:rsidR="00FA1286">
        <w:rPr>
          <w:rFonts w:asciiTheme="minorHAnsi" w:hAnsiTheme="minorHAnsi" w:cstheme="minorHAnsi"/>
          <w:color w:val="002060"/>
          <w:sz w:val="24"/>
          <w:szCs w:val="24"/>
        </w:rPr>
        <w:t xml:space="preserve"> w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 xml:space="preserve"> umowie </w:t>
      </w:r>
      <w:r w:rsidR="00B80B32">
        <w:rPr>
          <w:rFonts w:asciiTheme="minorHAnsi" w:hAnsiTheme="minorHAnsi" w:cstheme="minorHAnsi"/>
          <w:color w:val="002060"/>
          <w:sz w:val="24"/>
          <w:szCs w:val="24"/>
        </w:rPr>
        <w:t>o pracę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>.</w:t>
      </w:r>
      <w:r w:rsidR="00DB228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5CD68D02" w14:textId="77777777" w:rsidR="005161AE" w:rsidRDefault="005161AE" w:rsidP="00DB2285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05529C6" w14:textId="49432D2E" w:rsidR="00DB2285" w:rsidRDefault="00AB1B43" w:rsidP="00DB2285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Polscy pracodawcy stosują typowe formy nadzoru, jednak c</w:t>
      </w:r>
      <w:r w:rsidR="00DB2285">
        <w:rPr>
          <w:rFonts w:asciiTheme="minorHAnsi" w:hAnsiTheme="minorHAnsi" w:cstheme="minorHAnsi"/>
          <w:color w:val="002060"/>
          <w:sz w:val="24"/>
          <w:szCs w:val="24"/>
        </w:rPr>
        <w:t>oraz więcej zagranicznych firm do kontroli pracowników wykorzystuje nowe technologie</w:t>
      </w:r>
      <w:r>
        <w:rPr>
          <w:rFonts w:asciiTheme="minorHAnsi" w:hAnsiTheme="minorHAnsi" w:cstheme="minorHAnsi"/>
          <w:color w:val="002060"/>
          <w:sz w:val="24"/>
          <w:szCs w:val="24"/>
        </w:rPr>
        <w:t>,</w:t>
      </w:r>
      <w:r w:rsidR="00DB2285">
        <w:rPr>
          <w:rFonts w:asciiTheme="minorHAnsi" w:hAnsiTheme="minorHAnsi" w:cstheme="minorHAnsi"/>
          <w:color w:val="002060"/>
          <w:sz w:val="24"/>
          <w:szCs w:val="24"/>
        </w:rPr>
        <w:t xml:space="preserve"> wszczepiając osobom zatrudnionym w </w:t>
      </w:r>
      <w:r>
        <w:rPr>
          <w:rFonts w:asciiTheme="minorHAnsi" w:hAnsiTheme="minorHAnsi" w:cstheme="minorHAnsi"/>
          <w:color w:val="002060"/>
          <w:sz w:val="24"/>
          <w:szCs w:val="24"/>
        </w:rPr>
        <w:t>organizacji chipy. To działanie zyskuje rosnącą popularność</w:t>
      </w:r>
      <w:r w:rsidR="009F72E3">
        <w:rPr>
          <w:rFonts w:asciiTheme="minorHAnsi" w:hAnsiTheme="minorHAnsi" w:cstheme="minorHAnsi"/>
          <w:color w:val="002060"/>
          <w:sz w:val="24"/>
          <w:szCs w:val="24"/>
        </w:rPr>
        <w:t xml:space="preserve"> wśród </w:t>
      </w:r>
      <w:r w:rsidR="009F72E3" w:rsidRPr="009F72E3">
        <w:rPr>
          <w:rFonts w:asciiTheme="minorHAnsi" w:hAnsiTheme="minorHAnsi" w:cstheme="minorHAnsi"/>
          <w:color w:val="002060"/>
          <w:sz w:val="24"/>
          <w:szCs w:val="24"/>
        </w:rPr>
        <w:t>zarządzających korporacj</w:t>
      </w:r>
      <w:r w:rsidR="009F72E3">
        <w:rPr>
          <w:rFonts w:asciiTheme="minorHAnsi" w:hAnsiTheme="minorHAnsi" w:cstheme="minorHAnsi"/>
          <w:color w:val="002060"/>
          <w:sz w:val="24"/>
          <w:szCs w:val="24"/>
        </w:rPr>
        <w:t>ami</w:t>
      </w:r>
      <w:r w:rsidR="009F72E3" w:rsidRPr="009F72E3">
        <w:rPr>
          <w:rFonts w:asciiTheme="minorHAnsi" w:hAnsiTheme="minorHAnsi" w:cstheme="minorHAnsi"/>
          <w:color w:val="002060"/>
          <w:sz w:val="24"/>
          <w:szCs w:val="24"/>
        </w:rPr>
        <w:t xml:space="preserve"> pracodawców</w:t>
      </w:r>
      <w:r w:rsidR="00E971DB">
        <w:rPr>
          <w:rFonts w:asciiTheme="minorHAnsi" w:hAnsiTheme="minorHAnsi" w:cstheme="minorHAnsi"/>
          <w:color w:val="002060"/>
          <w:sz w:val="24"/>
          <w:szCs w:val="24"/>
        </w:rPr>
        <w:t>,</w:t>
      </w:r>
      <w:r w:rsidR="009F72E3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7C17AF">
        <w:rPr>
          <w:rFonts w:asciiTheme="minorHAnsi" w:hAnsiTheme="minorHAnsi" w:cstheme="minorHAnsi"/>
          <w:color w:val="002060"/>
          <w:sz w:val="24"/>
          <w:szCs w:val="24"/>
        </w:rPr>
        <w:t>mimo pojawiających się głosów sprzeciwu</w:t>
      </w:r>
      <w:r w:rsidR="009F72E3">
        <w:rPr>
          <w:rFonts w:asciiTheme="minorHAnsi" w:hAnsiTheme="minorHAnsi" w:cstheme="minorHAnsi"/>
          <w:color w:val="002060"/>
          <w:sz w:val="24"/>
          <w:szCs w:val="24"/>
        </w:rPr>
        <w:t xml:space="preserve"> organizacji dbających o prawa p</w:t>
      </w:r>
      <w:r w:rsidR="00E971DB">
        <w:rPr>
          <w:rFonts w:asciiTheme="minorHAnsi" w:hAnsiTheme="minorHAnsi" w:cstheme="minorHAnsi"/>
          <w:color w:val="002060"/>
          <w:sz w:val="24"/>
          <w:szCs w:val="24"/>
        </w:rPr>
        <w:t>racowników.</w:t>
      </w:r>
    </w:p>
    <w:p w14:paraId="2E2CB28A" w14:textId="03CA1BCC" w:rsidR="007C17AF" w:rsidRDefault="007C17AF" w:rsidP="00DB2285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B991568" w14:textId="47BC9D6E" w:rsidR="007C17AF" w:rsidRDefault="007C17AF" w:rsidP="00DB2285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>Jak kontrolują polscy pracodawcy?</w:t>
      </w:r>
    </w:p>
    <w:p w14:paraId="29F06997" w14:textId="070F9D86" w:rsidR="007C17AF" w:rsidRDefault="007C17AF" w:rsidP="00DB2285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7D1AE515" w14:textId="1184A1DF" w:rsidR="007C17AF" w:rsidRDefault="007C17AF" w:rsidP="00DB2285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7C17AF">
        <w:rPr>
          <w:rFonts w:asciiTheme="minorHAnsi" w:hAnsiTheme="minorHAnsi" w:cstheme="minorHAnsi"/>
          <w:color w:val="002060"/>
          <w:sz w:val="24"/>
          <w:szCs w:val="24"/>
        </w:rPr>
        <w:t>Zdecydowanie najbardziej popularny</w:t>
      </w:r>
      <w:r>
        <w:rPr>
          <w:rFonts w:asciiTheme="minorHAnsi" w:hAnsiTheme="minorHAnsi" w:cstheme="minorHAnsi"/>
          <w:color w:val="002060"/>
          <w:sz w:val="24"/>
          <w:szCs w:val="24"/>
        </w:rPr>
        <w:t>mi formami kontroli stosowanymi w polskich firmach są kamery</w:t>
      </w:r>
      <w:r w:rsidRPr="007C17AF">
        <w:rPr>
          <w:rFonts w:asciiTheme="minorHAnsi" w:hAnsiTheme="minorHAnsi" w:cstheme="minorHAnsi"/>
          <w:color w:val="002060"/>
          <w:sz w:val="24"/>
          <w:szCs w:val="24"/>
        </w:rPr>
        <w:t xml:space="preserve"> w zakładzie pracy, monitoring poczty elektronicznej i komputerów czy zamontowany w autach służbowych GPS. </w:t>
      </w:r>
      <w:r w:rsidR="00134AEE">
        <w:rPr>
          <w:rFonts w:asciiTheme="minorHAnsi" w:hAnsiTheme="minorHAnsi" w:cstheme="minorHAnsi"/>
          <w:color w:val="002060"/>
          <w:sz w:val="24"/>
          <w:szCs w:val="24"/>
        </w:rPr>
        <w:t xml:space="preserve">Kto odpowiada za tego typu działania? </w:t>
      </w:r>
      <w:r>
        <w:rPr>
          <w:rFonts w:asciiTheme="minorHAnsi" w:hAnsiTheme="minorHAnsi" w:cstheme="minorHAnsi"/>
          <w:color w:val="002060"/>
          <w:sz w:val="24"/>
        </w:rPr>
        <w:t xml:space="preserve">– </w:t>
      </w:r>
      <w:r w:rsidRPr="00134AEE">
        <w:rPr>
          <w:rFonts w:asciiTheme="minorHAnsi" w:hAnsiTheme="minorHAnsi" w:cstheme="minorHAnsi"/>
          <w:i/>
          <w:color w:val="002060"/>
          <w:sz w:val="24"/>
          <w:szCs w:val="24"/>
        </w:rPr>
        <w:t>Zazwyczaj w dużych organizacjach, zwłaszcza spółkach Skarbu Państwa czy jednostkach budżetowych, powoływane są specjalne działy, których celem jest szeroko pojęta kontrola wewnętrzna. Wtedy możemy mówić o zorganizowanej kontroli zarówno procesu pracy jak i samych pracowników</w:t>
      </w:r>
      <w:r w:rsidR="00134A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="00134AEE" w:rsidRPr="00134A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– </w:t>
      </w:r>
      <w:r w:rsidR="00134AEE" w:rsidRPr="00134AEE">
        <w:rPr>
          <w:rFonts w:asciiTheme="minorHAnsi" w:hAnsiTheme="minorHAnsi" w:cstheme="minorHAnsi"/>
          <w:color w:val="002060"/>
          <w:sz w:val="24"/>
          <w:szCs w:val="24"/>
        </w:rPr>
        <w:t xml:space="preserve">mówi Magda Dąbrowska, </w:t>
      </w:r>
      <w:bookmarkStart w:id="1" w:name="_Hlk7514051"/>
      <w:r w:rsidR="00134AEE" w:rsidRPr="00134AEE">
        <w:rPr>
          <w:rFonts w:asciiTheme="minorHAnsi" w:hAnsiTheme="minorHAnsi" w:cstheme="minorHAnsi"/>
          <w:color w:val="002060"/>
          <w:sz w:val="24"/>
          <w:szCs w:val="24"/>
        </w:rPr>
        <w:t>Dyrektor Zarządzający CUW w Grupie Progres</w:t>
      </w:r>
      <w:bookmarkEnd w:id="1"/>
      <w:r w:rsidR="00134A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.                     </w:t>
      </w:r>
      <w:r w:rsidR="00134AEE" w:rsidRPr="00134A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– </w:t>
      </w:r>
      <w:r w:rsidR="00134AEE">
        <w:rPr>
          <w:rFonts w:asciiTheme="minorHAnsi" w:hAnsiTheme="minorHAnsi" w:cstheme="minorHAnsi"/>
          <w:i/>
          <w:color w:val="002060"/>
          <w:sz w:val="24"/>
          <w:szCs w:val="24"/>
        </w:rPr>
        <w:t>Taka k</w:t>
      </w:r>
      <w:r w:rsidRPr="00134AEE">
        <w:rPr>
          <w:rFonts w:asciiTheme="minorHAnsi" w:hAnsiTheme="minorHAnsi" w:cstheme="minorHAnsi"/>
          <w:i/>
          <w:color w:val="002060"/>
          <w:sz w:val="24"/>
          <w:szCs w:val="24"/>
        </w:rPr>
        <w:t>omórka weryfikuje zgodność prowadzonej działalności z przepisami prawa, procedurami wewnętrznymi, efektywnością i gospodarnością</w:t>
      </w:r>
      <w:r w:rsidR="00134A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działań</w:t>
      </w:r>
      <w:r w:rsidRPr="00134A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podejmowanych na różnych szczeblach. </w:t>
      </w:r>
      <w:r w:rsidR="00FA1286">
        <w:rPr>
          <w:rFonts w:asciiTheme="minorHAnsi" w:hAnsiTheme="minorHAnsi" w:cstheme="minorHAnsi"/>
          <w:i/>
          <w:color w:val="002060"/>
          <w:sz w:val="24"/>
          <w:szCs w:val="24"/>
        </w:rPr>
        <w:t>P</w:t>
      </w:r>
      <w:r w:rsidRPr="00134AEE">
        <w:rPr>
          <w:rFonts w:asciiTheme="minorHAnsi" w:hAnsiTheme="minorHAnsi" w:cstheme="minorHAnsi"/>
          <w:i/>
          <w:color w:val="002060"/>
          <w:sz w:val="24"/>
          <w:szCs w:val="24"/>
        </w:rPr>
        <w:t>racownicy oczywiście są w pełni świadomi</w:t>
      </w:r>
      <w:r w:rsidR="00134A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nadzoru, którym są objęci</w:t>
      </w:r>
      <w:r w:rsidRPr="00134AEE">
        <w:rPr>
          <w:rFonts w:asciiTheme="minorHAnsi" w:hAnsiTheme="minorHAnsi" w:cstheme="minorHAnsi"/>
          <w:i/>
          <w:color w:val="002060"/>
          <w:sz w:val="24"/>
          <w:szCs w:val="24"/>
        </w:rPr>
        <w:t>. Poza tym jest to ściśle określone w regulaminie pracy</w:t>
      </w:r>
      <w:r w:rsidR="00134A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bookmarkStart w:id="2" w:name="_Hlk7514020"/>
      <w:r w:rsidR="00134A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- </w:t>
      </w:r>
      <w:r w:rsidR="00134AEE">
        <w:rPr>
          <w:rFonts w:asciiTheme="minorHAnsi" w:hAnsiTheme="minorHAnsi" w:cstheme="minorHAnsi"/>
          <w:color w:val="002060"/>
          <w:sz w:val="24"/>
          <w:szCs w:val="24"/>
        </w:rPr>
        <w:t>zaznacza</w:t>
      </w:r>
      <w:r w:rsidR="00134AEE" w:rsidRPr="00134AEE">
        <w:rPr>
          <w:rFonts w:asciiTheme="minorHAnsi" w:hAnsiTheme="minorHAnsi" w:cstheme="minorHAnsi"/>
          <w:color w:val="002060"/>
          <w:sz w:val="24"/>
          <w:szCs w:val="24"/>
        </w:rPr>
        <w:t xml:space="preserve"> Magda Dąbrowska</w:t>
      </w:r>
      <w:r w:rsidR="00134AEE">
        <w:rPr>
          <w:rFonts w:asciiTheme="minorHAnsi" w:hAnsiTheme="minorHAnsi" w:cstheme="minorHAnsi"/>
          <w:color w:val="002060"/>
          <w:sz w:val="24"/>
          <w:szCs w:val="24"/>
        </w:rPr>
        <w:t>.</w:t>
      </w:r>
      <w:bookmarkEnd w:id="2"/>
    </w:p>
    <w:p w14:paraId="18833965" w14:textId="7D3D8C5D" w:rsidR="00485F1C" w:rsidRDefault="00485F1C" w:rsidP="00DB2285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55E9399" w14:textId="28513491" w:rsidR="00560E6F" w:rsidRPr="00560E6F" w:rsidRDefault="00560E6F" w:rsidP="00DB2285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560E6F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Wszyscy będziemy </w:t>
      </w:r>
      <w:proofErr w:type="spellStart"/>
      <w:r w:rsidRPr="00560E6F">
        <w:rPr>
          <w:rFonts w:asciiTheme="minorHAnsi" w:hAnsiTheme="minorHAnsi" w:cstheme="minorHAnsi"/>
          <w:b/>
          <w:color w:val="002060"/>
          <w:sz w:val="24"/>
          <w:szCs w:val="24"/>
        </w:rPr>
        <w:t>zachipowani</w:t>
      </w:r>
      <w:proofErr w:type="spellEnd"/>
      <w:r w:rsidRPr="00560E6F">
        <w:rPr>
          <w:rFonts w:asciiTheme="minorHAnsi" w:hAnsiTheme="minorHAnsi" w:cstheme="minorHAnsi"/>
          <w:b/>
          <w:color w:val="002060"/>
          <w:sz w:val="24"/>
          <w:szCs w:val="24"/>
        </w:rPr>
        <w:t>?</w:t>
      </w:r>
    </w:p>
    <w:p w14:paraId="741AC6B0" w14:textId="4E5A6C4D" w:rsidR="00DB2285" w:rsidRDefault="00DB2285" w:rsidP="00DB2285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24D7EF27" w14:textId="642567CC" w:rsidR="005161AE" w:rsidRDefault="00560E6F" w:rsidP="005161AE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Sposoby </w:t>
      </w:r>
      <w:r w:rsidR="00645B16">
        <w:rPr>
          <w:rFonts w:asciiTheme="minorHAnsi" w:hAnsiTheme="minorHAnsi" w:cstheme="minorHAnsi"/>
          <w:color w:val="002060"/>
          <w:sz w:val="24"/>
          <w:szCs w:val="24"/>
        </w:rPr>
        <w:t>nadzoru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pracownika zaczynają przybierać jednak inne formy. Coraz więcej zagranicznych firm rozważa </w:t>
      </w:r>
      <w:proofErr w:type="spellStart"/>
      <w:r>
        <w:rPr>
          <w:rFonts w:asciiTheme="minorHAnsi" w:hAnsiTheme="minorHAnsi" w:cstheme="minorHAnsi"/>
          <w:color w:val="002060"/>
          <w:sz w:val="24"/>
          <w:szCs w:val="24"/>
        </w:rPr>
        <w:t>chipowanie</w:t>
      </w:r>
      <w:proofErr w:type="spellEnd"/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645B16">
        <w:rPr>
          <w:rFonts w:asciiTheme="minorHAnsi" w:hAnsiTheme="minorHAnsi" w:cstheme="minorHAnsi"/>
          <w:color w:val="002060"/>
          <w:sz w:val="24"/>
          <w:szCs w:val="24"/>
        </w:rPr>
        <w:t>zatrudnionych osób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. Tego typu działania są testowane lub stopniowo wprowadzane przez organizacje działające w Szwecji, USA, Belgii, Holandii </w:t>
      </w:r>
      <w:r w:rsidR="00645B16">
        <w:rPr>
          <w:rFonts w:asciiTheme="minorHAnsi" w:hAnsiTheme="minorHAnsi" w:cstheme="minorHAnsi"/>
          <w:color w:val="002060"/>
          <w:sz w:val="24"/>
          <w:szCs w:val="24"/>
        </w:rPr>
        <w:t xml:space="preserve">czy </w:t>
      </w:r>
      <w:r>
        <w:rPr>
          <w:rFonts w:asciiTheme="minorHAnsi" w:hAnsiTheme="minorHAnsi" w:cstheme="minorHAnsi"/>
          <w:color w:val="002060"/>
          <w:sz w:val="24"/>
          <w:szCs w:val="24"/>
        </w:rPr>
        <w:t>Australii</w:t>
      </w:r>
      <w:r w:rsidR="00645B16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>Rośnie też liczba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 xml:space="preserve"> firm prawniczych i finansowych w Wielkiej Brytanii</w:t>
      </w:r>
      <w:r w:rsidR="00645B16">
        <w:rPr>
          <w:rFonts w:asciiTheme="minorHAnsi" w:hAnsiTheme="minorHAnsi" w:cstheme="minorHAnsi"/>
          <w:color w:val="002060"/>
          <w:sz w:val="24"/>
          <w:szCs w:val="24"/>
        </w:rPr>
        <w:t xml:space="preserve"> oraz przedsiębiorstw prowadzonych w </w:t>
      </w:r>
      <w:r w:rsidR="004C61D9">
        <w:rPr>
          <w:rFonts w:asciiTheme="minorHAnsi" w:hAnsiTheme="minorHAnsi" w:cstheme="minorHAnsi"/>
          <w:color w:val="002060"/>
          <w:sz w:val="24"/>
          <w:szCs w:val="24"/>
        </w:rPr>
        <w:t xml:space="preserve">Zjednoczonych </w:t>
      </w:r>
      <w:r w:rsidR="00645B16">
        <w:rPr>
          <w:rFonts w:asciiTheme="minorHAnsi" w:hAnsiTheme="minorHAnsi" w:cstheme="minorHAnsi"/>
          <w:color w:val="002060"/>
          <w:sz w:val="24"/>
          <w:szCs w:val="24"/>
        </w:rPr>
        <w:t>Emiratach Arabskich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>, które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 xml:space="preserve"> prowadz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>ą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 xml:space="preserve"> rozmowy z producent</w:t>
      </w:r>
      <w:r w:rsidR="004C61D9">
        <w:rPr>
          <w:rFonts w:asciiTheme="minorHAnsi" w:hAnsiTheme="minorHAnsi" w:cstheme="minorHAnsi"/>
          <w:color w:val="002060"/>
          <w:sz w:val="24"/>
          <w:szCs w:val="24"/>
        </w:rPr>
        <w:t>ami</w:t>
      </w:r>
      <w:r w:rsidR="00DB2285" w:rsidRPr="00DB2285">
        <w:rPr>
          <w:rFonts w:asciiTheme="minorHAnsi" w:hAnsiTheme="minorHAnsi" w:cstheme="minorHAnsi"/>
          <w:color w:val="002060"/>
          <w:sz w:val="24"/>
          <w:szCs w:val="24"/>
        </w:rPr>
        <w:t xml:space="preserve"> chipów. Według nich głównym powodem takiego stanu rzeczy są względy bezpieczeństwa</w:t>
      </w:r>
      <w:r w:rsidR="007F16A7">
        <w:rPr>
          <w:rFonts w:asciiTheme="minorHAnsi" w:hAnsiTheme="minorHAnsi" w:cstheme="minorHAnsi"/>
          <w:color w:val="002060"/>
          <w:sz w:val="24"/>
          <w:szCs w:val="24"/>
        </w:rPr>
        <w:t xml:space="preserve"> – chipy </w:t>
      </w:r>
      <w:r w:rsidR="007F16A7" w:rsidRPr="007F16A7">
        <w:rPr>
          <w:rFonts w:asciiTheme="minorHAnsi" w:hAnsiTheme="minorHAnsi" w:cstheme="minorHAnsi"/>
          <w:color w:val="002060"/>
          <w:sz w:val="24"/>
          <w:szCs w:val="24"/>
        </w:rPr>
        <w:t>pozwolą</w:t>
      </w:r>
      <w:r w:rsidR="007F16A7">
        <w:rPr>
          <w:rFonts w:asciiTheme="minorHAnsi" w:hAnsiTheme="minorHAnsi" w:cstheme="minorHAnsi"/>
          <w:color w:val="002060"/>
          <w:sz w:val="24"/>
          <w:szCs w:val="24"/>
        </w:rPr>
        <w:t xml:space="preserve"> m.in.</w:t>
      </w:r>
      <w:r w:rsidR="007F16A7" w:rsidRPr="007F16A7">
        <w:rPr>
          <w:rFonts w:asciiTheme="minorHAnsi" w:hAnsiTheme="minorHAnsi" w:cstheme="minorHAnsi"/>
          <w:color w:val="002060"/>
          <w:sz w:val="24"/>
          <w:szCs w:val="24"/>
        </w:rPr>
        <w:t xml:space="preserve"> ograniczyć dostęp</w:t>
      </w:r>
      <w:r w:rsidR="007F16A7">
        <w:rPr>
          <w:rFonts w:asciiTheme="minorHAnsi" w:hAnsiTheme="minorHAnsi" w:cstheme="minorHAnsi"/>
          <w:color w:val="002060"/>
          <w:sz w:val="24"/>
          <w:szCs w:val="24"/>
        </w:rPr>
        <w:t xml:space="preserve"> niepowołanych osób do wrażliwych dokumentów.</w:t>
      </w:r>
    </w:p>
    <w:p w14:paraId="60FF525F" w14:textId="77777777" w:rsidR="005161AE" w:rsidRDefault="005161AE" w:rsidP="005161AE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61683E5" w14:textId="28429B6A" w:rsidR="005161AE" w:rsidRPr="005161AE" w:rsidRDefault="004C61D9" w:rsidP="005161AE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Sygnały płynące od pracodawców powodują, </w:t>
      </w:r>
      <w:r w:rsidR="00FA1286">
        <w:rPr>
          <w:rFonts w:asciiTheme="minorHAnsi" w:hAnsiTheme="minorHAnsi" w:cstheme="minorHAnsi"/>
          <w:color w:val="002060"/>
          <w:sz w:val="24"/>
          <w:szCs w:val="24"/>
        </w:rPr>
        <w:t xml:space="preserve">że 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>koncerny</w:t>
      </w:r>
      <w:r w:rsidRPr="004C61D9">
        <w:rPr>
          <w:rFonts w:asciiTheme="minorHAnsi" w:hAnsiTheme="minorHAnsi" w:cstheme="minorHAnsi"/>
          <w:color w:val="002060"/>
          <w:sz w:val="24"/>
          <w:szCs w:val="24"/>
        </w:rPr>
        <w:t xml:space="preserve"> zajmujące się </w:t>
      </w:r>
      <w:r w:rsidR="00FA1286">
        <w:rPr>
          <w:rFonts w:asciiTheme="minorHAnsi" w:hAnsiTheme="minorHAnsi" w:cstheme="minorHAnsi"/>
          <w:color w:val="002060"/>
          <w:sz w:val="24"/>
          <w:szCs w:val="24"/>
        </w:rPr>
        <w:t>nowymi</w:t>
      </w:r>
      <w:r w:rsidRPr="004C61D9">
        <w:rPr>
          <w:rFonts w:asciiTheme="minorHAnsi" w:hAnsiTheme="minorHAnsi" w:cstheme="minorHAnsi"/>
          <w:color w:val="002060"/>
          <w:sz w:val="24"/>
          <w:szCs w:val="24"/>
        </w:rPr>
        <w:t xml:space="preserve"> technologiami poszukują sposobów na zapewnienie pracodawcom lepszej informacji i wglądu w 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>to</w:t>
      </w:r>
      <w:r w:rsidR="00FA1286">
        <w:rPr>
          <w:rFonts w:asciiTheme="minorHAnsi" w:hAnsiTheme="minorHAnsi" w:cstheme="minorHAnsi"/>
          <w:color w:val="002060"/>
          <w:sz w:val="24"/>
          <w:szCs w:val="24"/>
        </w:rPr>
        <w:t>,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 xml:space="preserve"> co faktycznie dzieje się w firmie i </w:t>
      </w:r>
      <w:r w:rsidR="007F16A7">
        <w:rPr>
          <w:rFonts w:asciiTheme="minorHAnsi" w:hAnsiTheme="minorHAnsi" w:cstheme="minorHAnsi"/>
          <w:color w:val="002060"/>
          <w:sz w:val="24"/>
          <w:szCs w:val="24"/>
        </w:rPr>
        <w:t xml:space="preserve">w 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>to</w:t>
      </w:r>
      <w:r w:rsidR="00FA1286">
        <w:rPr>
          <w:rFonts w:asciiTheme="minorHAnsi" w:hAnsiTheme="minorHAnsi" w:cstheme="minorHAnsi"/>
          <w:color w:val="002060"/>
          <w:sz w:val="24"/>
          <w:szCs w:val="24"/>
        </w:rPr>
        <w:t>,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 xml:space="preserve"> co robią</w:t>
      </w:r>
      <w:r w:rsidRPr="004C61D9">
        <w:rPr>
          <w:rFonts w:asciiTheme="minorHAnsi" w:hAnsiTheme="minorHAnsi" w:cstheme="minorHAnsi"/>
          <w:color w:val="002060"/>
          <w:sz w:val="24"/>
          <w:szCs w:val="24"/>
        </w:rPr>
        <w:t xml:space="preserve"> pracowni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>cy</w:t>
      </w:r>
      <w:r w:rsidRPr="004C61D9">
        <w:rPr>
          <w:rFonts w:asciiTheme="minorHAnsi" w:hAnsiTheme="minorHAnsi" w:cstheme="minorHAnsi"/>
          <w:color w:val="002060"/>
          <w:sz w:val="24"/>
          <w:szCs w:val="24"/>
        </w:rPr>
        <w:t>.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5161AE" w:rsidRPr="00134AEE">
        <w:rPr>
          <w:rFonts w:asciiTheme="minorHAnsi" w:hAnsiTheme="minorHAnsi" w:cstheme="minorHAnsi"/>
          <w:i/>
          <w:color w:val="002060"/>
          <w:sz w:val="24"/>
          <w:szCs w:val="24"/>
        </w:rPr>
        <w:t>–</w:t>
      </w:r>
      <w:r w:rsid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="005161AE" w:rsidRPr="005161AE">
        <w:rPr>
          <w:rFonts w:asciiTheme="minorHAnsi" w:hAnsiTheme="minorHAnsi" w:cstheme="minorHAnsi"/>
          <w:i/>
          <w:color w:val="002060"/>
          <w:sz w:val="24"/>
          <w:szCs w:val="24"/>
        </w:rPr>
        <w:t>Technologia staje się standardem i wszystko zmierza w</w:t>
      </w:r>
      <w:r w:rsid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kierunku jej upowszechnia również w formie narzędzi pozwalających kontrolować pracowników. </w:t>
      </w:r>
      <w:r w:rsidR="005161AE" w:rsidRP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Samo </w:t>
      </w:r>
      <w:proofErr w:type="spellStart"/>
      <w:r w:rsidR="005161AE" w:rsidRPr="005161AE">
        <w:rPr>
          <w:rFonts w:asciiTheme="minorHAnsi" w:hAnsiTheme="minorHAnsi" w:cstheme="minorHAnsi"/>
          <w:i/>
          <w:color w:val="002060"/>
          <w:sz w:val="24"/>
          <w:szCs w:val="24"/>
        </w:rPr>
        <w:t>chipowanie</w:t>
      </w:r>
      <w:proofErr w:type="spellEnd"/>
      <w:r w:rsidR="005161AE" w:rsidRP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testowane jest na świecie</w:t>
      </w:r>
      <w:r w:rsidR="005161AE">
        <w:rPr>
          <w:rFonts w:asciiTheme="minorHAnsi" w:hAnsiTheme="minorHAnsi" w:cstheme="minorHAnsi"/>
          <w:i/>
          <w:color w:val="002060"/>
          <w:sz w:val="24"/>
          <w:szCs w:val="24"/>
        </w:rPr>
        <w:t>, jednak</w:t>
      </w:r>
      <w:r w:rsidR="005161AE" w:rsidRP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nie tylko pod kątem pracowników, ale przede wszystkim pod kątem codziennego życia</w:t>
      </w:r>
      <w:r w:rsidR="005161AE">
        <w:rPr>
          <w:rFonts w:asciiTheme="minorHAnsi" w:hAnsiTheme="minorHAnsi" w:cstheme="minorHAnsi"/>
          <w:i/>
          <w:color w:val="002060"/>
          <w:sz w:val="24"/>
          <w:szCs w:val="24"/>
        </w:rPr>
        <w:t>,</w:t>
      </w:r>
      <w:r w:rsidR="005161AE" w:rsidRP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gdzie wszczepiony chip ma chociażby umożliwić podróżowanie bez konieczności zakupu tradycyjnego biletu</w:t>
      </w:r>
      <w:r w:rsid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– 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 xml:space="preserve">mówi </w:t>
      </w:r>
      <w:r w:rsidR="005161AE" w:rsidRPr="005161AE">
        <w:rPr>
          <w:rFonts w:asciiTheme="minorHAnsi" w:hAnsiTheme="minorHAnsi" w:cstheme="minorHAnsi"/>
          <w:color w:val="002060"/>
          <w:sz w:val="24"/>
          <w:szCs w:val="24"/>
        </w:rPr>
        <w:t>Dyrektor Zarządzający CUW w Grupie Progres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>.</w:t>
      </w:r>
      <w:r w:rsid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="005161AE" w:rsidRPr="00134AEE">
        <w:rPr>
          <w:rFonts w:asciiTheme="minorHAnsi" w:hAnsiTheme="minorHAnsi" w:cstheme="minorHAnsi"/>
          <w:i/>
          <w:color w:val="002060"/>
          <w:sz w:val="24"/>
          <w:szCs w:val="24"/>
        </w:rPr>
        <w:t>–</w:t>
      </w:r>
      <w:r w:rsid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="005161AE" w:rsidRPr="005161AE">
        <w:rPr>
          <w:rFonts w:asciiTheme="minorHAnsi" w:hAnsiTheme="minorHAnsi" w:cstheme="minorHAnsi"/>
          <w:i/>
          <w:color w:val="002060"/>
          <w:sz w:val="24"/>
          <w:szCs w:val="24"/>
        </w:rPr>
        <w:t>Biorąc pod uwagę łatwość wszczepienia, ale też równie łatwą możliwość jego usunięcia zapewne to</w:t>
      </w:r>
      <w:r w:rsid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działanie jest</w:t>
      </w:r>
      <w:r w:rsidR="005161AE" w:rsidRP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nieuniknione. Nie sądzę jednak</w:t>
      </w:r>
      <w:r w:rsidR="005161AE">
        <w:rPr>
          <w:rFonts w:asciiTheme="minorHAnsi" w:hAnsiTheme="minorHAnsi" w:cstheme="minorHAnsi"/>
          <w:i/>
          <w:color w:val="002060"/>
          <w:sz w:val="24"/>
          <w:szCs w:val="24"/>
        </w:rPr>
        <w:t>,</w:t>
      </w:r>
      <w:r w:rsidR="005161AE" w:rsidRP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aby tak kontrowersyjny temat udało się przeforsować w polskim prawie pracowniczym</w:t>
      </w:r>
      <w:r w:rsidR="005161A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–</w:t>
      </w:r>
      <w:r w:rsidR="005161AE">
        <w:rPr>
          <w:rFonts w:asciiTheme="minorHAnsi" w:hAnsiTheme="minorHAnsi" w:cstheme="minorHAnsi"/>
          <w:color w:val="002060"/>
          <w:sz w:val="24"/>
          <w:szCs w:val="24"/>
        </w:rPr>
        <w:t xml:space="preserve"> podkreśla Magda Dąbrowska. </w:t>
      </w:r>
    </w:p>
    <w:p w14:paraId="73F6AA9D" w14:textId="77777777" w:rsidR="00DB16EF" w:rsidRPr="00E05548" w:rsidRDefault="00DB16EF" w:rsidP="00FB77FC">
      <w:pPr>
        <w:rPr>
          <w:color w:val="002060"/>
          <w:sz w:val="24"/>
          <w:szCs w:val="24"/>
        </w:rPr>
      </w:pPr>
    </w:p>
    <w:bookmarkEnd w:id="0"/>
    <w:p w14:paraId="69926093" w14:textId="5EE96365" w:rsid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6319A316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6AFE0966" w14:textId="0EC3C172" w:rsidR="00E05548" w:rsidRPr="00E971DB" w:rsidRDefault="00E05548" w:rsidP="00E971DB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</w:t>
      </w:r>
      <w:r w:rsidR="006839A3">
        <w:rPr>
          <w:rFonts w:asciiTheme="minorHAnsi" w:hAnsiTheme="minorHAnsi" w:cstheme="minorHAnsi"/>
          <w:color w:val="002060"/>
          <w:sz w:val="20"/>
          <w:szCs w:val="20"/>
        </w:rPr>
        <w:t>8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tysięcy pracowników i realizuje 1,5 tysiąca projektów rekrutacyjnych. Posiada kilkadziesiąt oddziałów w Polsce i zagranicą. </w:t>
      </w: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7F5D49C2" w14:textId="23E88121" w:rsidR="00DF5583" w:rsidRPr="00E971DB" w:rsidRDefault="00E05548" w:rsidP="00D24642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sectPr w:rsidR="00DF5583" w:rsidRPr="00E971DB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18BF" w14:textId="77777777" w:rsidR="00FD59EF" w:rsidRDefault="00FD59EF" w:rsidP="00B332FF">
      <w:r>
        <w:separator/>
      </w:r>
    </w:p>
  </w:endnote>
  <w:endnote w:type="continuationSeparator" w:id="0">
    <w:p w14:paraId="45F73F60" w14:textId="77777777" w:rsidR="00FD59EF" w:rsidRDefault="00FD59EF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C370" w14:textId="77777777" w:rsidR="00FD59EF" w:rsidRDefault="00FD59EF" w:rsidP="00B332FF">
      <w:r>
        <w:separator/>
      </w:r>
    </w:p>
  </w:footnote>
  <w:footnote w:type="continuationSeparator" w:id="0">
    <w:p w14:paraId="63290C44" w14:textId="77777777" w:rsidR="00FD59EF" w:rsidRDefault="00FD59EF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53F5"/>
    <w:rsid w:val="00036102"/>
    <w:rsid w:val="000426D5"/>
    <w:rsid w:val="000924FC"/>
    <w:rsid w:val="000A3077"/>
    <w:rsid w:val="000A6C87"/>
    <w:rsid w:val="000B2757"/>
    <w:rsid w:val="000D60DF"/>
    <w:rsid w:val="000E4644"/>
    <w:rsid w:val="000E6326"/>
    <w:rsid w:val="001126CB"/>
    <w:rsid w:val="00112702"/>
    <w:rsid w:val="00114250"/>
    <w:rsid w:val="00134AEE"/>
    <w:rsid w:val="001467B4"/>
    <w:rsid w:val="001522F5"/>
    <w:rsid w:val="001834B1"/>
    <w:rsid w:val="00194540"/>
    <w:rsid w:val="001A5D06"/>
    <w:rsid w:val="001A75A5"/>
    <w:rsid w:val="001B1511"/>
    <w:rsid w:val="001C5671"/>
    <w:rsid w:val="001C6A76"/>
    <w:rsid w:val="001E74E4"/>
    <w:rsid w:val="00210D38"/>
    <w:rsid w:val="00231305"/>
    <w:rsid w:val="002333C2"/>
    <w:rsid w:val="00237E0C"/>
    <w:rsid w:val="002547CE"/>
    <w:rsid w:val="00271898"/>
    <w:rsid w:val="00286E1F"/>
    <w:rsid w:val="002A1444"/>
    <w:rsid w:val="002A406D"/>
    <w:rsid w:val="002A6884"/>
    <w:rsid w:val="002B53AE"/>
    <w:rsid w:val="002C19BC"/>
    <w:rsid w:val="002C295A"/>
    <w:rsid w:val="002F6058"/>
    <w:rsid w:val="00301E41"/>
    <w:rsid w:val="0031516E"/>
    <w:rsid w:val="00321C33"/>
    <w:rsid w:val="00323633"/>
    <w:rsid w:val="0033021F"/>
    <w:rsid w:val="003629C8"/>
    <w:rsid w:val="0036739B"/>
    <w:rsid w:val="00381CC9"/>
    <w:rsid w:val="00391CE0"/>
    <w:rsid w:val="003A5053"/>
    <w:rsid w:val="003A6667"/>
    <w:rsid w:val="003B13B2"/>
    <w:rsid w:val="003B2C2A"/>
    <w:rsid w:val="003F173D"/>
    <w:rsid w:val="004018D5"/>
    <w:rsid w:val="00403851"/>
    <w:rsid w:val="004062B8"/>
    <w:rsid w:val="00410C6C"/>
    <w:rsid w:val="00412F56"/>
    <w:rsid w:val="00427773"/>
    <w:rsid w:val="004323D1"/>
    <w:rsid w:val="00465B97"/>
    <w:rsid w:val="004815B8"/>
    <w:rsid w:val="00485F1C"/>
    <w:rsid w:val="004A2351"/>
    <w:rsid w:val="004C61D9"/>
    <w:rsid w:val="004E3C8A"/>
    <w:rsid w:val="004F1E0F"/>
    <w:rsid w:val="00512A67"/>
    <w:rsid w:val="00512F62"/>
    <w:rsid w:val="00514E69"/>
    <w:rsid w:val="005161AE"/>
    <w:rsid w:val="00516A5A"/>
    <w:rsid w:val="005262E5"/>
    <w:rsid w:val="00530981"/>
    <w:rsid w:val="0053464A"/>
    <w:rsid w:val="00536118"/>
    <w:rsid w:val="00540F74"/>
    <w:rsid w:val="00553E6C"/>
    <w:rsid w:val="00560E6F"/>
    <w:rsid w:val="00572EF3"/>
    <w:rsid w:val="005740D7"/>
    <w:rsid w:val="00582646"/>
    <w:rsid w:val="0059056F"/>
    <w:rsid w:val="00596452"/>
    <w:rsid w:val="005973BF"/>
    <w:rsid w:val="005A3F81"/>
    <w:rsid w:val="005D1823"/>
    <w:rsid w:val="005D56D5"/>
    <w:rsid w:val="005F7D58"/>
    <w:rsid w:val="00607E18"/>
    <w:rsid w:val="006229DA"/>
    <w:rsid w:val="00645B16"/>
    <w:rsid w:val="00670266"/>
    <w:rsid w:val="006751EB"/>
    <w:rsid w:val="006829CF"/>
    <w:rsid w:val="006839A3"/>
    <w:rsid w:val="00691170"/>
    <w:rsid w:val="006C0A82"/>
    <w:rsid w:val="006D5D94"/>
    <w:rsid w:val="006E1DD8"/>
    <w:rsid w:val="006E657F"/>
    <w:rsid w:val="00714B45"/>
    <w:rsid w:val="00717459"/>
    <w:rsid w:val="00733113"/>
    <w:rsid w:val="00740A88"/>
    <w:rsid w:val="007664F6"/>
    <w:rsid w:val="007A433A"/>
    <w:rsid w:val="007C0AE6"/>
    <w:rsid w:val="007C17AF"/>
    <w:rsid w:val="007C50A0"/>
    <w:rsid w:val="007C7859"/>
    <w:rsid w:val="007D1FD1"/>
    <w:rsid w:val="007D2EEF"/>
    <w:rsid w:val="007E4E0D"/>
    <w:rsid w:val="007E5F53"/>
    <w:rsid w:val="007F16A7"/>
    <w:rsid w:val="007F3A4F"/>
    <w:rsid w:val="007F55BA"/>
    <w:rsid w:val="007F74A0"/>
    <w:rsid w:val="00833EEB"/>
    <w:rsid w:val="0088277C"/>
    <w:rsid w:val="0089087A"/>
    <w:rsid w:val="00896D22"/>
    <w:rsid w:val="00896F74"/>
    <w:rsid w:val="008A3A86"/>
    <w:rsid w:val="008B4AD4"/>
    <w:rsid w:val="008B7179"/>
    <w:rsid w:val="008B7F3E"/>
    <w:rsid w:val="008E0E59"/>
    <w:rsid w:val="008E7511"/>
    <w:rsid w:val="00935535"/>
    <w:rsid w:val="00937AF8"/>
    <w:rsid w:val="00945355"/>
    <w:rsid w:val="00952D7B"/>
    <w:rsid w:val="00974C5D"/>
    <w:rsid w:val="009A75F4"/>
    <w:rsid w:val="009B155A"/>
    <w:rsid w:val="009C23BE"/>
    <w:rsid w:val="009E5B91"/>
    <w:rsid w:val="009E6DF0"/>
    <w:rsid w:val="009F4B3E"/>
    <w:rsid w:val="009F72E3"/>
    <w:rsid w:val="009F7EC3"/>
    <w:rsid w:val="00A22AC8"/>
    <w:rsid w:val="00A31144"/>
    <w:rsid w:val="00A56124"/>
    <w:rsid w:val="00A60263"/>
    <w:rsid w:val="00A636C7"/>
    <w:rsid w:val="00A646C9"/>
    <w:rsid w:val="00A67D86"/>
    <w:rsid w:val="00A7049D"/>
    <w:rsid w:val="00A803E6"/>
    <w:rsid w:val="00A853E8"/>
    <w:rsid w:val="00A87FE3"/>
    <w:rsid w:val="00A93D2E"/>
    <w:rsid w:val="00AB1B43"/>
    <w:rsid w:val="00AC76AB"/>
    <w:rsid w:val="00AE48F0"/>
    <w:rsid w:val="00AF7D6A"/>
    <w:rsid w:val="00B332FF"/>
    <w:rsid w:val="00B75DA6"/>
    <w:rsid w:val="00B80B32"/>
    <w:rsid w:val="00B95E76"/>
    <w:rsid w:val="00BA077A"/>
    <w:rsid w:val="00BA1E41"/>
    <w:rsid w:val="00BB6D37"/>
    <w:rsid w:val="00BE1F69"/>
    <w:rsid w:val="00BE7867"/>
    <w:rsid w:val="00BF080B"/>
    <w:rsid w:val="00BF210F"/>
    <w:rsid w:val="00C0117C"/>
    <w:rsid w:val="00C21316"/>
    <w:rsid w:val="00C22A1E"/>
    <w:rsid w:val="00C22A96"/>
    <w:rsid w:val="00C3641C"/>
    <w:rsid w:val="00C467A0"/>
    <w:rsid w:val="00C703CA"/>
    <w:rsid w:val="00C852BE"/>
    <w:rsid w:val="00C92005"/>
    <w:rsid w:val="00CB0118"/>
    <w:rsid w:val="00CB0C5F"/>
    <w:rsid w:val="00CC2CA1"/>
    <w:rsid w:val="00D12EAA"/>
    <w:rsid w:val="00D20C38"/>
    <w:rsid w:val="00D24642"/>
    <w:rsid w:val="00D36FF6"/>
    <w:rsid w:val="00D651C3"/>
    <w:rsid w:val="00D655EE"/>
    <w:rsid w:val="00DA6C2E"/>
    <w:rsid w:val="00DB16EF"/>
    <w:rsid w:val="00DB2285"/>
    <w:rsid w:val="00DD6DBA"/>
    <w:rsid w:val="00DF23DC"/>
    <w:rsid w:val="00DF5583"/>
    <w:rsid w:val="00E03C52"/>
    <w:rsid w:val="00E05548"/>
    <w:rsid w:val="00E233AE"/>
    <w:rsid w:val="00E42011"/>
    <w:rsid w:val="00E50747"/>
    <w:rsid w:val="00E55742"/>
    <w:rsid w:val="00E65520"/>
    <w:rsid w:val="00E8569E"/>
    <w:rsid w:val="00E870D6"/>
    <w:rsid w:val="00E971DB"/>
    <w:rsid w:val="00EB3A78"/>
    <w:rsid w:val="00EC09DE"/>
    <w:rsid w:val="00EC74E8"/>
    <w:rsid w:val="00ED1C77"/>
    <w:rsid w:val="00ED2886"/>
    <w:rsid w:val="00ED3B00"/>
    <w:rsid w:val="00ED62E3"/>
    <w:rsid w:val="00EF6665"/>
    <w:rsid w:val="00F1211C"/>
    <w:rsid w:val="00F125CF"/>
    <w:rsid w:val="00F13302"/>
    <w:rsid w:val="00F2485C"/>
    <w:rsid w:val="00F2796A"/>
    <w:rsid w:val="00F4147B"/>
    <w:rsid w:val="00F436C1"/>
    <w:rsid w:val="00F44C66"/>
    <w:rsid w:val="00F54BC8"/>
    <w:rsid w:val="00F60D97"/>
    <w:rsid w:val="00FA1286"/>
    <w:rsid w:val="00FB77FC"/>
    <w:rsid w:val="00FC1310"/>
    <w:rsid w:val="00FC48F8"/>
    <w:rsid w:val="00FD59EF"/>
    <w:rsid w:val="00FE13C8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BE52-8AE1-4D76-ADBF-599B7A4B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9</cp:revision>
  <cp:lastPrinted>2018-10-09T07:31:00Z</cp:lastPrinted>
  <dcterms:created xsi:type="dcterms:W3CDTF">2019-04-30T10:03:00Z</dcterms:created>
  <dcterms:modified xsi:type="dcterms:W3CDTF">2019-05-09T15:01:00Z</dcterms:modified>
</cp:coreProperties>
</file>