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6C8DB46B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AD00D2">
        <w:rPr>
          <w:b/>
          <w:color w:val="002060"/>
        </w:rPr>
        <w:t>26</w:t>
      </w:r>
      <w:r w:rsidRPr="000924FC">
        <w:rPr>
          <w:b/>
          <w:color w:val="002060"/>
        </w:rPr>
        <w:t>.0</w:t>
      </w:r>
      <w:r w:rsidR="002A1444">
        <w:rPr>
          <w:b/>
          <w:color w:val="002060"/>
        </w:rPr>
        <w:t>2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696DD3F7" w14:textId="77777777" w:rsidR="00FB77FC" w:rsidRPr="000924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2FFAD994" w14:textId="10E094BD" w:rsidR="00FB77FC" w:rsidRPr="00572EF3" w:rsidRDefault="00572EF3" w:rsidP="007D1FD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UMOWY CYWILNOPRAWNE. CO MOŻE Z</w:t>
      </w:r>
      <w:r w:rsidR="00E71180">
        <w:rPr>
          <w:rFonts w:asciiTheme="minorHAnsi" w:hAnsiTheme="minorHAnsi" w:cstheme="minorHAnsi"/>
          <w:b/>
          <w:color w:val="002060"/>
          <w:sz w:val="28"/>
        </w:rPr>
        <w:t>R</w:t>
      </w: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28"/>
        </w:rPr>
        <w:t>OBIĆ KOMORNIK?</w:t>
      </w:r>
    </w:p>
    <w:p w14:paraId="76F77C53" w14:textId="7A1A3194" w:rsidR="00231305" w:rsidRDefault="002547CE" w:rsidP="00E05548">
      <w:pPr>
        <w:spacing w:line="276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O</w:t>
      </w:r>
      <w:r w:rsidR="00231305">
        <w:rPr>
          <w:b/>
          <w:color w:val="002060"/>
          <w:sz w:val="24"/>
        </w:rPr>
        <w:t xml:space="preserve">d 1 stycznia 2019 r. </w:t>
      </w:r>
      <w:r>
        <w:rPr>
          <w:b/>
          <w:color w:val="002060"/>
          <w:sz w:val="24"/>
        </w:rPr>
        <w:t>o</w:t>
      </w:r>
      <w:r w:rsidR="007F55BA">
        <w:rPr>
          <w:b/>
          <w:color w:val="002060"/>
          <w:sz w:val="24"/>
        </w:rPr>
        <w:t>s</w:t>
      </w:r>
      <w:r>
        <w:rPr>
          <w:b/>
          <w:color w:val="002060"/>
          <w:sz w:val="24"/>
        </w:rPr>
        <w:t>oby</w:t>
      </w:r>
      <w:r w:rsidR="007F55BA">
        <w:rPr>
          <w:b/>
          <w:color w:val="002060"/>
          <w:sz w:val="24"/>
        </w:rPr>
        <w:t xml:space="preserve"> </w:t>
      </w:r>
      <w:r w:rsidR="007C0AE6">
        <w:rPr>
          <w:b/>
          <w:color w:val="002060"/>
          <w:sz w:val="24"/>
        </w:rPr>
        <w:t>otrzymując</w:t>
      </w:r>
      <w:r>
        <w:rPr>
          <w:b/>
          <w:color w:val="002060"/>
          <w:sz w:val="24"/>
        </w:rPr>
        <w:t>e</w:t>
      </w:r>
      <w:r w:rsidR="007C0AE6">
        <w:rPr>
          <w:b/>
          <w:color w:val="002060"/>
          <w:sz w:val="24"/>
        </w:rPr>
        <w:t xml:space="preserve"> minimalne wynagrodzenie na podstawie</w:t>
      </w:r>
      <w:r w:rsidR="00231305" w:rsidRPr="00231305">
        <w:rPr>
          <w:b/>
          <w:color w:val="002060"/>
          <w:sz w:val="24"/>
        </w:rPr>
        <w:t xml:space="preserve"> umowy cywilnoprawne</w:t>
      </w:r>
      <w:r w:rsidR="007C0AE6">
        <w:rPr>
          <w:b/>
          <w:color w:val="002060"/>
          <w:sz w:val="24"/>
        </w:rPr>
        <w:t>j</w:t>
      </w:r>
      <w:r w:rsidR="007F55BA">
        <w:rPr>
          <w:b/>
          <w:color w:val="002060"/>
          <w:sz w:val="24"/>
        </w:rPr>
        <w:t xml:space="preserve"> </w:t>
      </w:r>
      <w:r w:rsidR="00512F62">
        <w:rPr>
          <w:b/>
          <w:color w:val="002060"/>
          <w:sz w:val="24"/>
        </w:rPr>
        <w:t xml:space="preserve">- </w:t>
      </w:r>
      <w:r w:rsidR="007F55BA">
        <w:rPr>
          <w:b/>
          <w:color w:val="002060"/>
          <w:sz w:val="24"/>
        </w:rPr>
        <w:t>14.70 zł brutto/h</w:t>
      </w:r>
      <w:r w:rsidR="00231305">
        <w:rPr>
          <w:b/>
          <w:color w:val="002060"/>
          <w:sz w:val="24"/>
        </w:rPr>
        <w:t>, dla których stanowi on</w:t>
      </w:r>
      <w:r w:rsidR="007C0AE6">
        <w:rPr>
          <w:b/>
          <w:color w:val="002060"/>
          <w:sz w:val="24"/>
        </w:rPr>
        <w:t>o</w:t>
      </w:r>
      <w:r w:rsidR="00231305">
        <w:rPr>
          <w:b/>
          <w:color w:val="002060"/>
          <w:sz w:val="24"/>
        </w:rPr>
        <w:t xml:space="preserve"> jedyne</w:t>
      </w:r>
      <w:r w:rsidR="004E3C8A">
        <w:rPr>
          <w:b/>
          <w:color w:val="002060"/>
          <w:sz w:val="24"/>
        </w:rPr>
        <w:t>, powtarzalne</w:t>
      </w:r>
      <w:r w:rsidR="00231305">
        <w:rPr>
          <w:b/>
          <w:color w:val="002060"/>
          <w:sz w:val="24"/>
        </w:rPr>
        <w:t xml:space="preserve"> źródło dochodu</w:t>
      </w:r>
      <w:r w:rsidR="007F55BA">
        <w:rPr>
          <w:b/>
          <w:color w:val="002060"/>
          <w:sz w:val="24"/>
        </w:rPr>
        <w:t>, korzysta</w:t>
      </w:r>
      <w:r>
        <w:rPr>
          <w:b/>
          <w:color w:val="002060"/>
          <w:sz w:val="24"/>
        </w:rPr>
        <w:t>ją</w:t>
      </w:r>
      <w:r w:rsidR="007F55BA">
        <w:rPr>
          <w:b/>
          <w:color w:val="002060"/>
          <w:sz w:val="24"/>
        </w:rPr>
        <w:t xml:space="preserve"> z analogicznej ochrony</w:t>
      </w:r>
      <w:r w:rsidR="00391CE0">
        <w:rPr>
          <w:b/>
          <w:color w:val="002060"/>
          <w:sz w:val="24"/>
        </w:rPr>
        <w:t xml:space="preserve"> do tej</w:t>
      </w:r>
      <w:r w:rsidR="007F55BA">
        <w:rPr>
          <w:b/>
          <w:color w:val="002060"/>
          <w:sz w:val="24"/>
        </w:rPr>
        <w:t xml:space="preserve"> jaką zapewnioną</w:t>
      </w:r>
      <w:r w:rsidR="00391CE0">
        <w:rPr>
          <w:b/>
          <w:color w:val="002060"/>
          <w:sz w:val="24"/>
        </w:rPr>
        <w:t xml:space="preserve"> mają</w:t>
      </w:r>
      <w:r w:rsidR="007F55BA">
        <w:rPr>
          <w:b/>
          <w:color w:val="002060"/>
          <w:sz w:val="24"/>
        </w:rPr>
        <w:t xml:space="preserve"> pracownicy etatowi.</w:t>
      </w:r>
      <w:r w:rsidR="00512F62">
        <w:rPr>
          <w:b/>
          <w:color w:val="002060"/>
          <w:sz w:val="24"/>
        </w:rPr>
        <w:t xml:space="preserve"> Dzięki tej zmianie komornik nie zajmie im już całej pensji.</w:t>
      </w:r>
    </w:p>
    <w:p w14:paraId="78F58806" w14:textId="71262CEB" w:rsidR="0059056F" w:rsidRDefault="0059056F" w:rsidP="00E05548">
      <w:pPr>
        <w:spacing w:line="276" w:lineRule="auto"/>
        <w:jc w:val="both"/>
        <w:rPr>
          <w:b/>
          <w:color w:val="002060"/>
          <w:sz w:val="24"/>
        </w:rPr>
      </w:pPr>
    </w:p>
    <w:p w14:paraId="13BDC464" w14:textId="59ECEC0E" w:rsidR="00F1211C" w:rsidRPr="00F1211C" w:rsidRDefault="005262E5" w:rsidP="007C0AE6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Kwota wolna od potrąceń </w:t>
      </w:r>
      <w:r w:rsidR="007C0AE6">
        <w:rPr>
          <w:color w:val="002060"/>
          <w:sz w:val="24"/>
        </w:rPr>
        <w:t>wierzytelności stanowi część wynagrodzenia, renty, emerytury oraz innego świadczenia, którego komornik nie może zająć</w:t>
      </w:r>
      <w:r w:rsidR="00F1211C">
        <w:rPr>
          <w:color w:val="002060"/>
          <w:sz w:val="24"/>
        </w:rPr>
        <w:t xml:space="preserve"> pod żadnym pozorem</w:t>
      </w:r>
      <w:r w:rsidR="007C0AE6">
        <w:rPr>
          <w:color w:val="002060"/>
          <w:sz w:val="24"/>
        </w:rPr>
        <w:t>. Jej wysokość zmienia się</w:t>
      </w:r>
      <w:r w:rsidR="00F1211C">
        <w:rPr>
          <w:color w:val="002060"/>
          <w:sz w:val="24"/>
        </w:rPr>
        <w:t xml:space="preserve"> każdego </w:t>
      </w:r>
      <w:r w:rsidR="007C0AE6">
        <w:rPr>
          <w:color w:val="002060"/>
          <w:sz w:val="24"/>
        </w:rPr>
        <w:t>roku</w:t>
      </w:r>
      <w:r w:rsidR="00391CE0">
        <w:rPr>
          <w:color w:val="002060"/>
          <w:sz w:val="24"/>
        </w:rPr>
        <w:t xml:space="preserve">, </w:t>
      </w:r>
      <w:r w:rsidR="007C0AE6">
        <w:rPr>
          <w:color w:val="002060"/>
          <w:sz w:val="24"/>
        </w:rPr>
        <w:t>uzależniona jest od</w:t>
      </w:r>
      <w:r w:rsidR="00F1211C">
        <w:rPr>
          <w:color w:val="002060"/>
          <w:sz w:val="24"/>
        </w:rPr>
        <w:t xml:space="preserve"> poziomu</w:t>
      </w:r>
      <w:r w:rsidR="00A31144">
        <w:rPr>
          <w:color w:val="002060"/>
          <w:sz w:val="24"/>
        </w:rPr>
        <w:t xml:space="preserve"> płacy minimalnej na podstawie, której jest wyliczana</w:t>
      </w:r>
      <w:r w:rsidR="00391CE0">
        <w:rPr>
          <w:color w:val="002060"/>
          <w:sz w:val="24"/>
        </w:rPr>
        <w:t xml:space="preserve"> i d</w:t>
      </w:r>
      <w:r w:rsidR="004F1E0F">
        <w:rPr>
          <w:color w:val="002060"/>
          <w:sz w:val="24"/>
        </w:rPr>
        <w:t xml:space="preserve">otyczy </w:t>
      </w:r>
      <w:r w:rsidR="00391CE0">
        <w:rPr>
          <w:color w:val="002060"/>
          <w:sz w:val="24"/>
        </w:rPr>
        <w:t xml:space="preserve">jedynie </w:t>
      </w:r>
      <w:r w:rsidR="004F1E0F">
        <w:rPr>
          <w:color w:val="002060"/>
          <w:sz w:val="24"/>
        </w:rPr>
        <w:t>egzekucji niealimentacyjnych.</w:t>
      </w:r>
      <w:r w:rsidR="004E3C8A">
        <w:rPr>
          <w:color w:val="002060"/>
          <w:sz w:val="24"/>
        </w:rPr>
        <w:t xml:space="preserve"> Od</w:t>
      </w:r>
      <w:r w:rsidR="004E3C8A" w:rsidRPr="004E3C8A">
        <w:rPr>
          <w:color w:val="002060"/>
          <w:sz w:val="24"/>
        </w:rPr>
        <w:t xml:space="preserve"> 1 stycznia 2019 r. do</w:t>
      </w:r>
      <w:r w:rsidR="004E3C8A">
        <w:rPr>
          <w:color w:val="002060"/>
          <w:sz w:val="24"/>
        </w:rPr>
        <w:t xml:space="preserve"> </w:t>
      </w:r>
      <w:r w:rsidR="004E3C8A" w:rsidRPr="004E3C8A">
        <w:rPr>
          <w:color w:val="002060"/>
          <w:sz w:val="24"/>
        </w:rPr>
        <w:t xml:space="preserve">wynagrodzenia </w:t>
      </w:r>
      <w:r w:rsidR="00391CE0">
        <w:rPr>
          <w:color w:val="002060"/>
          <w:sz w:val="24"/>
        </w:rPr>
        <w:t>wypłacanego na podstawie</w:t>
      </w:r>
      <w:r w:rsidR="004E3C8A" w:rsidRPr="004E3C8A">
        <w:rPr>
          <w:color w:val="002060"/>
          <w:sz w:val="24"/>
        </w:rPr>
        <w:t xml:space="preserve"> umowy zlecenia posiadającego charakter świadczenia powtarzającego się, które służy zapewnieniu utrzymania lub stanowi jedyne źródło dochodu, stosuje się w całości przepisy dotyczące „pracowniczej” kwoty wolnej.</w:t>
      </w:r>
      <w:r w:rsidR="00512F62">
        <w:rPr>
          <w:color w:val="002060"/>
          <w:sz w:val="24"/>
        </w:rPr>
        <w:t xml:space="preserve"> </w:t>
      </w:r>
    </w:p>
    <w:p w14:paraId="6A28A719" w14:textId="3659B73D" w:rsidR="00A31144" w:rsidRDefault="00A31144" w:rsidP="007C0AE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D78151" w14:textId="1F774ACA" w:rsidR="00F1211C" w:rsidRPr="00F1211C" w:rsidRDefault="00F1211C" w:rsidP="007C0AE6">
      <w:pPr>
        <w:spacing w:line="276" w:lineRule="auto"/>
        <w:jc w:val="both"/>
        <w:rPr>
          <w:b/>
          <w:color w:val="002060"/>
          <w:sz w:val="24"/>
        </w:rPr>
      </w:pPr>
      <w:r w:rsidRPr="00F1211C">
        <w:rPr>
          <w:b/>
          <w:color w:val="002060"/>
          <w:sz w:val="24"/>
        </w:rPr>
        <w:t xml:space="preserve">Koniec z dowolną interpretacją </w:t>
      </w:r>
    </w:p>
    <w:p w14:paraId="4D43B931" w14:textId="77777777" w:rsidR="00F1211C" w:rsidRDefault="00F1211C" w:rsidP="007C0AE6">
      <w:pPr>
        <w:spacing w:line="276" w:lineRule="auto"/>
        <w:jc w:val="both"/>
        <w:rPr>
          <w:color w:val="002060"/>
          <w:sz w:val="24"/>
        </w:rPr>
      </w:pPr>
    </w:p>
    <w:p w14:paraId="321E2CE1" w14:textId="330F0E97" w:rsidR="007C0AE6" w:rsidRPr="004F1E0F" w:rsidRDefault="00F1211C" w:rsidP="007C0AE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2060"/>
          <w:sz w:val="24"/>
        </w:rPr>
        <w:t xml:space="preserve">- </w:t>
      </w:r>
      <w:r w:rsidR="00A31144" w:rsidRPr="00F1211C">
        <w:rPr>
          <w:rFonts w:asciiTheme="minorHAnsi" w:hAnsiTheme="minorHAnsi" w:cstheme="minorHAnsi"/>
          <w:i/>
          <w:color w:val="002060"/>
          <w:sz w:val="24"/>
        </w:rPr>
        <w:t xml:space="preserve">W 2018 r. </w:t>
      </w:r>
      <w:r w:rsidR="00A31144" w:rsidRP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przepisy dotyczące ochrony przed potrąceniami</w:t>
      </w:r>
      <w:r w:rsidR="00F125CF" w:rsidRP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A56124" w:rsidRP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</w:t>
      </w:r>
      <w:r w:rsidR="00391CE0" w:rsidRPr="00391CE0">
        <w:rPr>
          <w:rFonts w:asciiTheme="minorHAnsi" w:hAnsiTheme="minorHAnsi" w:cstheme="minorHAnsi"/>
          <w:i/>
          <w:color w:val="002060"/>
          <w:sz w:val="24"/>
        </w:rPr>
        <w:t xml:space="preserve">w </w:t>
      </w:r>
      <w:r w:rsidR="00391CE0" w:rsidRP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przypadku umów cywilnoprawnych</w:t>
      </w:r>
      <w:r w:rsid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, 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nie miały zastosowania wprost</w:t>
      </w:r>
      <w:r w:rsid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, w przeciwieństwie do </w:t>
      </w:r>
      <w:r w:rsidR="00391CE0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umów o pracę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. W mojej ocenie mieliśmy do czynienia z pewnego rodzaju luką prawną i niejednoznacznymi interpretacjami ze strony organów egzekucyjnych, organów </w:t>
      </w:r>
      <w:r w:rsid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kontrolujących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oraz sądów powszechnych.</w:t>
      </w:r>
      <w:r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Teoretycznie</w:t>
      </w:r>
      <w:r w:rsid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w przypadku umów cywilnoprawnych</w:t>
      </w:r>
      <w:r w:rsidR="00391CE0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przychód </w:t>
      </w:r>
      <w:r w:rsid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mógł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zostać zajęty w całości, nie było kwoty wolnej od potrąceń.  Wyjątek stanowi</w:t>
      </w:r>
      <w:r w:rsidR="00516A5A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ł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przypadek, w którym umowa cywilnoprawna 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była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jedyn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ym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źródł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em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dochodu. Taki stan rzeczy należ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ało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oczywiście udokumentować i wówczas zastosowanie znalazłyby przepisy kodeksu pracy dotyczące potrąceń</w:t>
      </w:r>
      <w:r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mówi Jacek Grzywa, Radca Prawny i Kierownik Działu Prawnego Grupy Progres</w:t>
      </w:r>
      <w:r w:rsidR="00A31144" w:rsidRPr="00572EF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. 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         </w:t>
      </w:r>
      <w:r w:rsidR="004F1E0F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– 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D</w:t>
      </w:r>
      <w:r w:rsid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opiero nowelizacja art. </w:t>
      </w:r>
      <w:r w:rsidR="00F44C66" w:rsidRP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art. 833 § 2</w:t>
      </w:r>
      <w:r w:rsidR="00F44C66" w:rsidRP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vertAlign w:val="superscript"/>
          <w:lang w:eastAsia="pl-PL"/>
        </w:rPr>
        <w:t>1</w:t>
      </w:r>
      <w:r w:rsidR="00F44C66" w:rsidRP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k.p.c.</w:t>
      </w:r>
      <w:r w:rsidR="00F44C66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 pozwoliła rozwiać powyższe wątpliwości</w:t>
      </w:r>
      <w:r w:rsidR="00E50747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</w:t>
      </w:r>
      <w:r w:rsidR="004F1E0F">
        <w:rPr>
          <w:i/>
          <w:color w:val="002060"/>
          <w:sz w:val="24"/>
        </w:rPr>
        <w:t xml:space="preserve"> </w:t>
      </w:r>
      <w:r w:rsidR="007F55BA">
        <w:rPr>
          <w:i/>
          <w:color w:val="002060"/>
          <w:sz w:val="24"/>
        </w:rPr>
        <w:t xml:space="preserve"> przez co do umów cywilnoprawnych mających charakter świadczenia powtarzającego i dającego stałe  źródło utrzymania stosujemy w całości przepisy o pracowniczej kwocie wolnej </w:t>
      </w:r>
      <w:r w:rsidR="004F1E0F">
        <w:rPr>
          <w:i/>
          <w:color w:val="002060"/>
          <w:sz w:val="24"/>
        </w:rPr>
        <w:t xml:space="preserve">– </w:t>
      </w:r>
      <w:r w:rsidR="004F1E0F">
        <w:rPr>
          <w:color w:val="002060"/>
          <w:sz w:val="24"/>
        </w:rPr>
        <w:t xml:space="preserve">podkreśla Jacek Grzywa. </w:t>
      </w:r>
    </w:p>
    <w:p w14:paraId="2A04F42C" w14:textId="77777777" w:rsidR="00596452" w:rsidRDefault="00596452" w:rsidP="007C0AE6">
      <w:pPr>
        <w:spacing w:line="276" w:lineRule="auto"/>
        <w:jc w:val="both"/>
        <w:rPr>
          <w:b/>
          <w:color w:val="002060"/>
          <w:sz w:val="24"/>
        </w:rPr>
      </w:pPr>
    </w:p>
    <w:p w14:paraId="0D03280E" w14:textId="2CF77620" w:rsidR="004F1E0F" w:rsidRPr="004F1E0F" w:rsidRDefault="004F1E0F" w:rsidP="007C0AE6">
      <w:pPr>
        <w:spacing w:line="276" w:lineRule="auto"/>
        <w:jc w:val="both"/>
        <w:rPr>
          <w:b/>
          <w:color w:val="002060"/>
          <w:sz w:val="24"/>
        </w:rPr>
      </w:pPr>
      <w:r w:rsidRPr="004F1E0F">
        <w:rPr>
          <w:b/>
          <w:color w:val="002060"/>
          <w:sz w:val="24"/>
        </w:rPr>
        <w:t>Kiedy grozi nam komornik</w:t>
      </w:r>
      <w:r w:rsidR="00E50747">
        <w:rPr>
          <w:b/>
          <w:color w:val="002060"/>
          <w:sz w:val="24"/>
        </w:rPr>
        <w:t xml:space="preserve"> i co może pracodawca</w:t>
      </w:r>
      <w:r w:rsidRPr="004F1E0F">
        <w:rPr>
          <w:b/>
          <w:color w:val="002060"/>
          <w:sz w:val="24"/>
        </w:rPr>
        <w:t>?</w:t>
      </w:r>
    </w:p>
    <w:p w14:paraId="4A4530E8" w14:textId="77777777" w:rsidR="004F1E0F" w:rsidRDefault="004F1E0F" w:rsidP="007C0AE6">
      <w:pPr>
        <w:spacing w:line="276" w:lineRule="auto"/>
        <w:jc w:val="both"/>
        <w:rPr>
          <w:color w:val="002060"/>
          <w:sz w:val="24"/>
        </w:rPr>
      </w:pPr>
    </w:p>
    <w:p w14:paraId="7943C8DF" w14:textId="16028559" w:rsidR="00733113" w:rsidRDefault="004F1E0F" w:rsidP="00733113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color w:val="002060"/>
          <w:sz w:val="24"/>
        </w:rPr>
        <w:t>Egzekucja tzw.</w:t>
      </w:r>
      <w:r w:rsidRPr="004F1E0F">
        <w:rPr>
          <w:color w:val="002060"/>
          <w:sz w:val="24"/>
        </w:rPr>
        <w:t xml:space="preserve"> innych należności</w:t>
      </w:r>
      <w:r>
        <w:rPr>
          <w:color w:val="002060"/>
          <w:sz w:val="24"/>
        </w:rPr>
        <w:t xml:space="preserve"> wykonywana jest w przypadku n</w:t>
      </w:r>
      <w:r w:rsidRPr="004F1E0F">
        <w:rPr>
          <w:color w:val="002060"/>
          <w:sz w:val="24"/>
        </w:rPr>
        <w:t>iespłacony</w:t>
      </w:r>
      <w:r>
        <w:rPr>
          <w:color w:val="002060"/>
          <w:sz w:val="24"/>
        </w:rPr>
        <w:t>ch</w:t>
      </w:r>
      <w:r w:rsidRPr="004F1E0F">
        <w:rPr>
          <w:color w:val="002060"/>
          <w:sz w:val="24"/>
        </w:rPr>
        <w:t xml:space="preserve"> kredyt</w:t>
      </w:r>
      <w:r>
        <w:rPr>
          <w:color w:val="002060"/>
          <w:sz w:val="24"/>
        </w:rPr>
        <w:t xml:space="preserve">ów bankowych, </w:t>
      </w:r>
      <w:r w:rsidR="004E3C8A">
        <w:rPr>
          <w:color w:val="002060"/>
          <w:sz w:val="24"/>
        </w:rPr>
        <w:t xml:space="preserve">grzywien, pożyczek, podatków czy niezapłaconych rachunków. </w:t>
      </w:r>
      <w:r w:rsidRPr="004F1E0F">
        <w:rPr>
          <w:color w:val="002060"/>
          <w:sz w:val="24"/>
        </w:rPr>
        <w:t xml:space="preserve">Potrąceń innych </w:t>
      </w:r>
      <w:r w:rsidRPr="004F1E0F">
        <w:rPr>
          <w:color w:val="002060"/>
          <w:sz w:val="24"/>
        </w:rPr>
        <w:lastRenderedPageBreak/>
        <w:t xml:space="preserve">świadczeń dokonujemy wyłącznie w ramach prowadzonej egzekucji po przedstawieniu tzw. tytułu wykonawczego. </w:t>
      </w:r>
    </w:p>
    <w:p w14:paraId="79C277A7" w14:textId="77777777" w:rsidR="00E50747" w:rsidRPr="00E50747" w:rsidRDefault="00E50747" w:rsidP="00733113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376C89" w14:textId="05DDCD37" w:rsidR="007D1FD1" w:rsidRPr="007C0AE6" w:rsidRDefault="00733113" w:rsidP="00733113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Jednym </w:t>
      </w:r>
      <w:r w:rsidRPr="00733113">
        <w:rPr>
          <w:color w:val="002060"/>
          <w:sz w:val="24"/>
        </w:rPr>
        <w:t>z najczęstszych sposobów stosowany przez komorników na wyegzekwowanie od dłużnika należności</w:t>
      </w:r>
      <w:r>
        <w:rPr>
          <w:color w:val="002060"/>
          <w:sz w:val="24"/>
        </w:rPr>
        <w:t xml:space="preserve"> są z</w:t>
      </w:r>
      <w:r w:rsidRPr="00733113">
        <w:rPr>
          <w:color w:val="002060"/>
          <w:sz w:val="24"/>
        </w:rPr>
        <w:t>ajęcie komornicze z pensji</w:t>
      </w:r>
      <w:r>
        <w:rPr>
          <w:color w:val="002060"/>
          <w:sz w:val="24"/>
        </w:rPr>
        <w:t xml:space="preserve">.  Za ich wyliczenie odpowiada </w:t>
      </w:r>
      <w:r w:rsidRPr="00733113">
        <w:rPr>
          <w:color w:val="002060"/>
          <w:sz w:val="24"/>
        </w:rPr>
        <w:t xml:space="preserve">pracodawca </w:t>
      </w:r>
      <w:r>
        <w:rPr>
          <w:color w:val="002060"/>
          <w:sz w:val="24"/>
        </w:rPr>
        <w:t xml:space="preserve">dłużnika </w:t>
      </w:r>
      <w:r w:rsidRPr="00733113">
        <w:rPr>
          <w:color w:val="002060"/>
          <w:sz w:val="24"/>
        </w:rPr>
        <w:t xml:space="preserve">i to do niego należy się zwrócić, </w:t>
      </w:r>
      <w:r w:rsidR="00596452">
        <w:rPr>
          <w:color w:val="002060"/>
          <w:sz w:val="24"/>
        </w:rPr>
        <w:t>w momencie</w:t>
      </w:r>
      <w:r w:rsidRPr="00733113">
        <w:rPr>
          <w:color w:val="002060"/>
          <w:sz w:val="24"/>
        </w:rPr>
        <w:t xml:space="preserve"> zastrzeże</w:t>
      </w:r>
      <w:r w:rsidR="00596452">
        <w:rPr>
          <w:color w:val="002060"/>
          <w:sz w:val="24"/>
        </w:rPr>
        <w:t>ń</w:t>
      </w:r>
      <w:r w:rsidRPr="00733113">
        <w:rPr>
          <w:color w:val="002060"/>
          <w:sz w:val="24"/>
        </w:rPr>
        <w:t xml:space="preserve"> </w:t>
      </w:r>
      <w:r w:rsidR="00E50747">
        <w:rPr>
          <w:color w:val="002060"/>
          <w:sz w:val="24"/>
        </w:rPr>
        <w:t>dotyczących</w:t>
      </w:r>
      <w:r w:rsidRPr="00733113">
        <w:rPr>
          <w:color w:val="002060"/>
          <w:sz w:val="24"/>
        </w:rPr>
        <w:t xml:space="preserve"> wysokości potrącanych przez komornika kwot.</w:t>
      </w:r>
      <w:r w:rsidR="00596452">
        <w:rPr>
          <w:color w:val="002060"/>
          <w:sz w:val="24"/>
        </w:rPr>
        <w:t xml:space="preserve"> </w:t>
      </w:r>
      <w:r w:rsidR="00E50747">
        <w:rPr>
          <w:color w:val="002060"/>
          <w:sz w:val="24"/>
        </w:rPr>
        <w:t>Należy pamiętać, że p</w:t>
      </w:r>
      <w:r w:rsidRPr="00733113">
        <w:rPr>
          <w:color w:val="002060"/>
          <w:sz w:val="24"/>
        </w:rPr>
        <w:t>racodawca ma obowiązek stosować kwotę wolną od potrąceń komorniczych, pomniejszaną proporcjonalnie do wymiaru etatu na jakim pracuje pracownik.</w:t>
      </w:r>
    </w:p>
    <w:p w14:paraId="74365D97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4B16F73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CB90" w14:textId="77777777" w:rsidR="00226FB5" w:rsidRDefault="00226FB5" w:rsidP="00B332FF">
      <w:r>
        <w:separator/>
      </w:r>
    </w:p>
  </w:endnote>
  <w:endnote w:type="continuationSeparator" w:id="0">
    <w:p w14:paraId="127390CF" w14:textId="77777777" w:rsidR="00226FB5" w:rsidRDefault="00226FB5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D303" w14:textId="77777777" w:rsidR="00226FB5" w:rsidRDefault="00226FB5" w:rsidP="00B332FF">
      <w:r>
        <w:separator/>
      </w:r>
    </w:p>
  </w:footnote>
  <w:footnote w:type="continuationSeparator" w:id="0">
    <w:p w14:paraId="05ADD9E6" w14:textId="77777777" w:rsidR="00226FB5" w:rsidRDefault="00226FB5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C8"/>
    <w:rsid w:val="000924FC"/>
    <w:rsid w:val="000B2757"/>
    <w:rsid w:val="000D60DF"/>
    <w:rsid w:val="000E6326"/>
    <w:rsid w:val="001126CB"/>
    <w:rsid w:val="00114250"/>
    <w:rsid w:val="001834B1"/>
    <w:rsid w:val="001A75A5"/>
    <w:rsid w:val="00226FB5"/>
    <w:rsid w:val="00231305"/>
    <w:rsid w:val="002547CE"/>
    <w:rsid w:val="002A1444"/>
    <w:rsid w:val="00391CE0"/>
    <w:rsid w:val="003B2C2A"/>
    <w:rsid w:val="00465B97"/>
    <w:rsid w:val="004815B8"/>
    <w:rsid w:val="004E3C8A"/>
    <w:rsid w:val="004F1E0F"/>
    <w:rsid w:val="00512F62"/>
    <w:rsid w:val="00516A5A"/>
    <w:rsid w:val="005262E5"/>
    <w:rsid w:val="00540F74"/>
    <w:rsid w:val="00572EF3"/>
    <w:rsid w:val="0059056F"/>
    <w:rsid w:val="00596452"/>
    <w:rsid w:val="00670266"/>
    <w:rsid w:val="006751EB"/>
    <w:rsid w:val="006E657F"/>
    <w:rsid w:val="00733113"/>
    <w:rsid w:val="007C0AE6"/>
    <w:rsid w:val="007C7859"/>
    <w:rsid w:val="007D1FD1"/>
    <w:rsid w:val="007D576C"/>
    <w:rsid w:val="007F55BA"/>
    <w:rsid w:val="0088277C"/>
    <w:rsid w:val="0089087A"/>
    <w:rsid w:val="008B7179"/>
    <w:rsid w:val="00974C5D"/>
    <w:rsid w:val="009A75F4"/>
    <w:rsid w:val="009C23BE"/>
    <w:rsid w:val="009E5B91"/>
    <w:rsid w:val="009F7EC3"/>
    <w:rsid w:val="00A22AC8"/>
    <w:rsid w:val="00A31144"/>
    <w:rsid w:val="00A56124"/>
    <w:rsid w:val="00A636C7"/>
    <w:rsid w:val="00A7049D"/>
    <w:rsid w:val="00A87FE3"/>
    <w:rsid w:val="00AD00D2"/>
    <w:rsid w:val="00B332FF"/>
    <w:rsid w:val="00BE1F69"/>
    <w:rsid w:val="00BE7867"/>
    <w:rsid w:val="00D24642"/>
    <w:rsid w:val="00DF5583"/>
    <w:rsid w:val="00E05548"/>
    <w:rsid w:val="00E50747"/>
    <w:rsid w:val="00E65520"/>
    <w:rsid w:val="00E71180"/>
    <w:rsid w:val="00E8569E"/>
    <w:rsid w:val="00EC74E8"/>
    <w:rsid w:val="00ED62E3"/>
    <w:rsid w:val="00F1211C"/>
    <w:rsid w:val="00F125CF"/>
    <w:rsid w:val="00F44C66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4037-3A27-4D82-9BC0-23A7553E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2018-10-09T07:31:00Z</cp:lastPrinted>
  <dcterms:created xsi:type="dcterms:W3CDTF">2019-02-04T20:58:00Z</dcterms:created>
  <dcterms:modified xsi:type="dcterms:W3CDTF">2019-02-27T12:05:00Z</dcterms:modified>
</cp:coreProperties>
</file>