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23EC93DD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1E74E4">
        <w:rPr>
          <w:b/>
          <w:color w:val="002060"/>
        </w:rPr>
        <w:t>2</w:t>
      </w:r>
      <w:r w:rsidR="00937AF8">
        <w:rPr>
          <w:b/>
          <w:color w:val="002060"/>
        </w:rPr>
        <w:t>1</w:t>
      </w:r>
      <w:bookmarkStart w:id="0" w:name="_GoBack"/>
      <w:bookmarkEnd w:id="0"/>
      <w:r w:rsidRPr="000924FC">
        <w:rPr>
          <w:b/>
          <w:color w:val="002060"/>
        </w:rPr>
        <w:t>.0</w:t>
      </w:r>
      <w:r w:rsidR="002A1444">
        <w:rPr>
          <w:b/>
          <w:color w:val="002060"/>
        </w:rPr>
        <w:t>2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696DD3F7" w14:textId="77777777" w:rsidR="00FB77FC" w:rsidRPr="000924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2FFAD994" w14:textId="28C26A0E" w:rsidR="00FB77FC" w:rsidRPr="00572EF3" w:rsidRDefault="001E74E4" w:rsidP="007D1FD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JEŚLI NIE CV TO CO</w:t>
      </w:r>
      <w:r w:rsidR="00572EF3">
        <w:rPr>
          <w:rFonts w:asciiTheme="minorHAnsi" w:hAnsiTheme="minorHAnsi" w:cstheme="minorHAnsi"/>
          <w:b/>
          <w:color w:val="002060"/>
          <w:sz w:val="28"/>
        </w:rPr>
        <w:t>?</w:t>
      </w:r>
    </w:p>
    <w:p w14:paraId="76F77C53" w14:textId="42CC51B3" w:rsidR="00231305" w:rsidRPr="0053464A" w:rsidRDefault="001E74E4" w:rsidP="00E05548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53464A">
        <w:rPr>
          <w:rFonts w:asciiTheme="minorHAnsi" w:hAnsiTheme="minorHAnsi" w:cstheme="minorHAnsi"/>
          <w:b/>
          <w:color w:val="002060"/>
          <w:sz w:val="24"/>
        </w:rPr>
        <w:t>Nawet z sześciu etapów może składać się proces rekrutacji</w:t>
      </w:r>
      <w:r w:rsidR="007C50A0" w:rsidRPr="0053464A">
        <w:rPr>
          <w:rFonts w:asciiTheme="minorHAnsi" w:hAnsiTheme="minorHAnsi" w:cstheme="minorHAnsi"/>
          <w:b/>
          <w:color w:val="002060"/>
          <w:sz w:val="24"/>
        </w:rPr>
        <w:t xml:space="preserve"> kandydatów chętnych do podjęcia pracy na wysokim stanowisku. Biorąc pod uwagę CV, które do rekruterów wysyłają Polacy, niewiele osób otrzymuje szansę</w:t>
      </w:r>
      <w:r w:rsidR="005D1823" w:rsidRPr="0053464A">
        <w:rPr>
          <w:rFonts w:asciiTheme="minorHAnsi" w:hAnsiTheme="minorHAnsi" w:cstheme="minorHAnsi"/>
          <w:b/>
          <w:color w:val="002060"/>
          <w:sz w:val="24"/>
        </w:rPr>
        <w:t xml:space="preserve"> spotkania</w:t>
      </w:r>
      <w:r w:rsidR="007C50A0" w:rsidRPr="0053464A">
        <w:rPr>
          <w:rFonts w:asciiTheme="minorHAnsi" w:hAnsiTheme="minorHAnsi" w:cstheme="minorHAnsi"/>
          <w:b/>
          <w:color w:val="002060"/>
          <w:sz w:val="24"/>
        </w:rPr>
        <w:t>. Jak wynika z danych Grupy Progres, nawet 50 proc. kandydatów odpada już w początkowej fazie rekrutacji – po analizie CV.</w:t>
      </w:r>
      <w:r w:rsidR="00F60D97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="00935535" w:rsidRPr="00935535">
        <w:rPr>
          <w:rFonts w:asciiTheme="minorHAnsi" w:hAnsiTheme="minorHAnsi" w:cstheme="minorHAnsi"/>
          <w:b/>
          <w:color w:val="002060"/>
          <w:sz w:val="24"/>
        </w:rPr>
        <w:t xml:space="preserve">Ponad połowa firm szukających managerów wyższego szczebla wymaga od </w:t>
      </w:r>
      <w:r w:rsidR="00935535">
        <w:rPr>
          <w:rFonts w:asciiTheme="minorHAnsi" w:hAnsiTheme="minorHAnsi" w:cstheme="minorHAnsi"/>
          <w:b/>
          <w:color w:val="002060"/>
          <w:sz w:val="24"/>
        </w:rPr>
        <w:t>nich także</w:t>
      </w:r>
      <w:r w:rsidR="00935535" w:rsidRPr="00935535">
        <w:rPr>
          <w:rFonts w:asciiTheme="minorHAnsi" w:hAnsiTheme="minorHAnsi" w:cstheme="minorHAnsi"/>
          <w:b/>
          <w:color w:val="002060"/>
          <w:sz w:val="24"/>
        </w:rPr>
        <w:t xml:space="preserve"> referencji, które dodatkowo punktują w przypadku starań o stanowisko kierownicze</w:t>
      </w:r>
      <w:r w:rsidR="00935535">
        <w:rPr>
          <w:rFonts w:asciiTheme="minorHAnsi" w:hAnsiTheme="minorHAnsi" w:cstheme="minorHAnsi"/>
          <w:b/>
          <w:color w:val="002060"/>
          <w:sz w:val="24"/>
        </w:rPr>
        <w:t>.</w:t>
      </w:r>
    </w:p>
    <w:p w14:paraId="78F58806" w14:textId="71262CEB" w:rsidR="0059056F" w:rsidRPr="0053464A" w:rsidRDefault="0059056F" w:rsidP="00E05548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7D8F8C02" w14:textId="77777777" w:rsidR="00AF7D6A" w:rsidRPr="0053464A" w:rsidRDefault="007C50A0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53464A">
        <w:rPr>
          <w:rFonts w:asciiTheme="minorHAnsi" w:hAnsiTheme="minorHAnsi" w:cstheme="minorHAnsi"/>
          <w:color w:val="002060"/>
          <w:sz w:val="24"/>
        </w:rPr>
        <w:t xml:space="preserve">Szukanie pracy dla wielu osób jest </w:t>
      </w:r>
      <w:r w:rsidR="004323D1" w:rsidRPr="0053464A">
        <w:rPr>
          <w:rFonts w:asciiTheme="minorHAnsi" w:hAnsiTheme="minorHAnsi" w:cstheme="minorHAnsi"/>
          <w:color w:val="002060"/>
          <w:sz w:val="24"/>
        </w:rPr>
        <w:t xml:space="preserve">stresującym zadaniem i wydaje się niezwykle </w:t>
      </w:r>
      <w:r w:rsidRPr="0053464A">
        <w:rPr>
          <w:rFonts w:asciiTheme="minorHAnsi" w:hAnsiTheme="minorHAnsi" w:cstheme="minorHAnsi"/>
          <w:color w:val="002060"/>
          <w:sz w:val="24"/>
        </w:rPr>
        <w:t>skomplikowan</w:t>
      </w:r>
      <w:r w:rsidR="004323D1" w:rsidRPr="0053464A">
        <w:rPr>
          <w:rFonts w:asciiTheme="minorHAnsi" w:hAnsiTheme="minorHAnsi" w:cstheme="minorHAnsi"/>
          <w:color w:val="002060"/>
          <w:sz w:val="24"/>
        </w:rPr>
        <w:t xml:space="preserve">e, szczególnie w </w:t>
      </w:r>
      <w:r w:rsidR="00AE48F0" w:rsidRPr="0053464A">
        <w:rPr>
          <w:rFonts w:asciiTheme="minorHAnsi" w:hAnsiTheme="minorHAnsi" w:cstheme="minorHAnsi"/>
          <w:color w:val="002060"/>
          <w:sz w:val="24"/>
        </w:rPr>
        <w:t>momencie</w:t>
      </w:r>
      <w:r w:rsidR="004323D1" w:rsidRPr="0053464A">
        <w:rPr>
          <w:rFonts w:asciiTheme="minorHAnsi" w:hAnsiTheme="minorHAnsi" w:cstheme="minorHAnsi"/>
          <w:color w:val="002060"/>
          <w:sz w:val="24"/>
        </w:rPr>
        <w:t>, gdy na setki wysłanych aplikacji nie odpowiada żaden potencjalny pracodawca. Tak</w:t>
      </w:r>
      <w:r w:rsidR="00AE48F0" w:rsidRPr="0053464A">
        <w:rPr>
          <w:rFonts w:asciiTheme="minorHAnsi" w:hAnsiTheme="minorHAnsi" w:cstheme="minorHAnsi"/>
          <w:color w:val="002060"/>
          <w:sz w:val="24"/>
        </w:rPr>
        <w:t xml:space="preserve">a sytuacja </w:t>
      </w:r>
      <w:r w:rsidR="004323D1" w:rsidRPr="0053464A">
        <w:rPr>
          <w:rFonts w:asciiTheme="minorHAnsi" w:hAnsiTheme="minorHAnsi" w:cstheme="minorHAnsi"/>
          <w:color w:val="002060"/>
          <w:sz w:val="24"/>
        </w:rPr>
        <w:t xml:space="preserve">w wielu przypadkach spowodowana jest nieodpowiednim CV, które niweczy szansę na odbycie spotkania z rekruterem. </w:t>
      </w:r>
    </w:p>
    <w:p w14:paraId="6D9D15ED" w14:textId="77777777" w:rsidR="00AF7D6A" w:rsidRPr="0053464A" w:rsidRDefault="00AF7D6A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2DEA7697" w14:textId="728A483F" w:rsidR="004323D1" w:rsidRPr="00935535" w:rsidRDefault="004323D1" w:rsidP="007C0AE6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53464A">
        <w:rPr>
          <w:rFonts w:asciiTheme="minorHAnsi" w:hAnsiTheme="minorHAnsi" w:cstheme="minorHAnsi"/>
          <w:color w:val="002060"/>
          <w:sz w:val="24"/>
        </w:rPr>
        <w:t xml:space="preserve">-  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Wpływ na </w:t>
      </w:r>
      <w:r w:rsidR="00E42011" w:rsidRPr="0053464A">
        <w:rPr>
          <w:rFonts w:asciiTheme="minorHAnsi" w:hAnsiTheme="minorHAnsi" w:cstheme="minorHAnsi"/>
          <w:i/>
          <w:color w:val="002060"/>
          <w:sz w:val="24"/>
        </w:rPr>
        <w:t>to,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ile aplikacji odpada po ich analizie</w:t>
      </w:r>
      <w:r w:rsidR="002C19BC">
        <w:rPr>
          <w:rFonts w:asciiTheme="minorHAnsi" w:hAnsiTheme="minorHAnsi" w:cstheme="minorHAnsi"/>
          <w:i/>
          <w:color w:val="002060"/>
          <w:sz w:val="24"/>
        </w:rPr>
        <w:t>,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935535">
        <w:rPr>
          <w:rFonts w:asciiTheme="minorHAnsi" w:hAnsiTheme="minorHAnsi" w:cstheme="minorHAnsi"/>
          <w:i/>
          <w:color w:val="002060"/>
          <w:sz w:val="24"/>
        </w:rPr>
        <w:t>ma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935535">
        <w:rPr>
          <w:rFonts w:asciiTheme="minorHAnsi" w:hAnsiTheme="minorHAnsi" w:cstheme="minorHAnsi"/>
          <w:i/>
          <w:color w:val="002060"/>
          <w:sz w:val="24"/>
        </w:rPr>
        <w:t>ranga stano</w:t>
      </w:r>
      <w:r w:rsidRPr="0053464A">
        <w:rPr>
          <w:rFonts w:asciiTheme="minorHAnsi" w:hAnsiTheme="minorHAnsi" w:cstheme="minorHAnsi"/>
          <w:i/>
          <w:color w:val="002060"/>
          <w:sz w:val="24"/>
        </w:rPr>
        <w:t>wiska</w:t>
      </w:r>
      <w:r w:rsidR="00935535">
        <w:rPr>
          <w:rFonts w:asciiTheme="minorHAnsi" w:hAnsiTheme="minorHAnsi" w:cstheme="minorHAnsi"/>
          <w:i/>
          <w:color w:val="002060"/>
          <w:sz w:val="24"/>
        </w:rPr>
        <w:t>,</w:t>
      </w:r>
      <w:r w:rsidR="002C19BC">
        <w:rPr>
          <w:rFonts w:asciiTheme="minorHAnsi" w:hAnsiTheme="minorHAnsi" w:cstheme="minorHAnsi"/>
          <w:i/>
          <w:color w:val="002060"/>
          <w:sz w:val="24"/>
        </w:rPr>
        <w:t xml:space="preserve"> na które prowadzona jest rekrutacja</w:t>
      </w:r>
      <w:r w:rsidR="003A5053" w:rsidRPr="0053464A">
        <w:rPr>
          <w:rFonts w:asciiTheme="minorHAnsi" w:hAnsiTheme="minorHAnsi" w:cstheme="minorHAnsi"/>
          <w:color w:val="002060"/>
          <w:sz w:val="24"/>
        </w:rPr>
        <w:t xml:space="preserve">. </w:t>
      </w:r>
      <w:r w:rsidR="00AF7D6A" w:rsidRPr="0053464A">
        <w:rPr>
          <w:rFonts w:asciiTheme="minorHAnsi" w:hAnsiTheme="minorHAnsi" w:cstheme="minorHAnsi"/>
          <w:i/>
          <w:color w:val="002060"/>
          <w:sz w:val="24"/>
        </w:rPr>
        <w:t>W przypadku stanowisk</w:t>
      </w:r>
      <w:r w:rsidR="00AF7D6A" w:rsidRPr="0053464A">
        <w:rPr>
          <w:rFonts w:asciiTheme="minorHAnsi" w:hAnsiTheme="minorHAnsi" w:cstheme="minorHAnsi"/>
          <w:color w:val="002060"/>
          <w:sz w:val="24"/>
        </w:rPr>
        <w:t xml:space="preserve"> 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niższego szczebla </w:t>
      </w:r>
      <w:r w:rsidR="00AF7D6A" w:rsidRPr="0053464A">
        <w:rPr>
          <w:rFonts w:asciiTheme="minorHAnsi" w:hAnsiTheme="minorHAnsi" w:cstheme="minorHAnsi"/>
          <w:i/>
          <w:color w:val="002060"/>
          <w:sz w:val="24"/>
        </w:rPr>
        <w:t xml:space="preserve">odrzucanych </w:t>
      </w:r>
      <w:r w:rsidRPr="0053464A">
        <w:rPr>
          <w:rFonts w:asciiTheme="minorHAnsi" w:hAnsiTheme="minorHAnsi" w:cstheme="minorHAnsi"/>
          <w:i/>
          <w:color w:val="002060"/>
          <w:sz w:val="24"/>
        </w:rPr>
        <w:t>jest ok. 10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 xml:space="preserve"> procent</w:t>
      </w:r>
      <w:r w:rsidR="00AF7D6A" w:rsidRPr="0053464A">
        <w:rPr>
          <w:rFonts w:asciiTheme="minorHAnsi" w:hAnsiTheme="minorHAnsi" w:cstheme="minorHAnsi"/>
          <w:i/>
          <w:color w:val="002060"/>
          <w:sz w:val="24"/>
        </w:rPr>
        <w:t xml:space="preserve"> CV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>. N</w:t>
      </w:r>
      <w:r w:rsidRPr="0053464A">
        <w:rPr>
          <w:rFonts w:asciiTheme="minorHAnsi" w:hAnsiTheme="minorHAnsi" w:cstheme="minorHAnsi"/>
          <w:i/>
          <w:color w:val="002060"/>
          <w:sz w:val="24"/>
        </w:rPr>
        <w:t>atomiast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>, gdy wymagamy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większych kompetencji, bądź doświadczenia w danej dziedzinie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 xml:space="preserve"> wynik jest </w:t>
      </w:r>
      <w:r w:rsidRPr="0053464A">
        <w:rPr>
          <w:rFonts w:asciiTheme="minorHAnsi" w:hAnsiTheme="minorHAnsi" w:cstheme="minorHAnsi"/>
          <w:i/>
          <w:color w:val="002060"/>
          <w:sz w:val="24"/>
        </w:rPr>
        <w:t>znacznie wyższy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 xml:space="preserve"> i może dochodzić nawet do </w:t>
      </w:r>
      <w:r w:rsidRPr="0053464A">
        <w:rPr>
          <w:rFonts w:asciiTheme="minorHAnsi" w:hAnsiTheme="minorHAnsi" w:cstheme="minorHAnsi"/>
          <w:i/>
          <w:color w:val="002060"/>
          <w:sz w:val="24"/>
        </w:rPr>
        <w:t>50</w:t>
      </w:r>
      <w:r w:rsidR="003A5053" w:rsidRPr="0053464A">
        <w:rPr>
          <w:rFonts w:asciiTheme="minorHAnsi" w:hAnsiTheme="minorHAnsi" w:cstheme="minorHAnsi"/>
          <w:i/>
          <w:color w:val="002060"/>
          <w:sz w:val="24"/>
        </w:rPr>
        <w:t xml:space="preserve"> procent </w:t>
      </w:r>
      <w:bookmarkStart w:id="1" w:name="_Hlk963414"/>
      <w:r w:rsidR="003A5053" w:rsidRPr="0053464A">
        <w:rPr>
          <w:rFonts w:asciiTheme="minorHAnsi" w:hAnsiTheme="minorHAnsi" w:cstheme="minorHAnsi"/>
          <w:color w:val="002060"/>
          <w:sz w:val="24"/>
        </w:rPr>
        <w:t xml:space="preserve">– mówi Joanna Dargiewicz, </w:t>
      </w:r>
      <w:r w:rsidR="005A3F81">
        <w:rPr>
          <w:rFonts w:asciiTheme="minorHAnsi" w:hAnsiTheme="minorHAnsi" w:cstheme="minorHAnsi"/>
          <w:color w:val="002060"/>
          <w:sz w:val="24"/>
        </w:rPr>
        <w:t>Kierownik</w:t>
      </w:r>
      <w:r w:rsidR="003A5053" w:rsidRPr="0053464A">
        <w:rPr>
          <w:rFonts w:asciiTheme="minorHAnsi" w:hAnsiTheme="minorHAnsi" w:cstheme="minorHAnsi"/>
          <w:color w:val="002060"/>
          <w:sz w:val="24"/>
        </w:rPr>
        <w:t xml:space="preserve"> Regionu Grupy Progres. –</w:t>
      </w:r>
      <w:bookmarkEnd w:id="1"/>
      <w:r w:rsidR="00935535">
        <w:rPr>
          <w:rFonts w:asciiTheme="minorHAnsi" w:hAnsiTheme="minorHAnsi" w:cstheme="minorHAnsi"/>
          <w:i/>
          <w:color w:val="002060"/>
          <w:sz w:val="24"/>
        </w:rPr>
        <w:t xml:space="preserve"> Kolejne etapy również nie są łatwe. Niektórzy kandydaci sami rezygnują w trakcie procesu rekrutacji. Pod koniec 2018 roku odsetek rezygnacji sięgał nawet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 xml:space="preserve"> 20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 procent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 xml:space="preserve">. Wynika to 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także 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 xml:space="preserve">z faktu, że kandydaci zazwyczaj aplikują jednocześnie na kilka stanowisk i zanim dojdzie do 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konkretnego 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>spotkani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a 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 xml:space="preserve">mają kilka zaproszeń 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na rozmowy </w:t>
      </w:r>
      <w:r w:rsidR="00935535" w:rsidRPr="00935535">
        <w:rPr>
          <w:rFonts w:asciiTheme="minorHAnsi" w:hAnsiTheme="minorHAnsi" w:cstheme="minorHAnsi"/>
          <w:i/>
          <w:color w:val="002060"/>
          <w:sz w:val="24"/>
        </w:rPr>
        <w:t>od pracodawców</w:t>
      </w:r>
      <w:r w:rsidR="00935535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E233AE" w:rsidRPr="0053464A">
        <w:rPr>
          <w:rFonts w:asciiTheme="minorHAnsi" w:hAnsiTheme="minorHAnsi" w:cstheme="minorHAnsi"/>
          <w:color w:val="002060"/>
          <w:sz w:val="24"/>
        </w:rPr>
        <w:t>– podkreśla Joanna Dargiewicz.</w:t>
      </w:r>
    </w:p>
    <w:p w14:paraId="607194A9" w14:textId="0060F103" w:rsidR="00E233AE" w:rsidRPr="0053464A" w:rsidRDefault="00E233AE" w:rsidP="007C0AE6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</w:p>
    <w:p w14:paraId="1AFDDA89" w14:textId="77777777" w:rsidR="00E233AE" w:rsidRPr="0053464A" w:rsidRDefault="00E233AE" w:rsidP="007C0AE6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53464A">
        <w:rPr>
          <w:rFonts w:asciiTheme="minorHAnsi" w:hAnsiTheme="minorHAnsi" w:cstheme="minorHAnsi"/>
          <w:b/>
          <w:color w:val="002060"/>
          <w:sz w:val="24"/>
        </w:rPr>
        <w:t>Rozmowa przez telefon równie ważna</w:t>
      </w:r>
    </w:p>
    <w:p w14:paraId="27748CD1" w14:textId="77777777" w:rsidR="00E233AE" w:rsidRPr="0053464A" w:rsidRDefault="00E233AE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220ABCDC" w14:textId="7D74E8C7" w:rsidR="00E233AE" w:rsidRPr="0053464A" w:rsidRDefault="005D1823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53464A">
        <w:rPr>
          <w:rFonts w:asciiTheme="minorHAnsi" w:hAnsiTheme="minorHAnsi" w:cstheme="minorHAnsi"/>
          <w:color w:val="002060"/>
          <w:sz w:val="24"/>
        </w:rPr>
        <w:t>Dla kandydatów</w:t>
      </w:r>
      <w:r w:rsidR="00935535">
        <w:rPr>
          <w:rFonts w:asciiTheme="minorHAnsi" w:hAnsiTheme="minorHAnsi" w:cstheme="minorHAnsi"/>
          <w:color w:val="002060"/>
          <w:sz w:val="24"/>
        </w:rPr>
        <w:t>, którzy nie rezygnują</w:t>
      </w:r>
      <w:r w:rsidRPr="0053464A">
        <w:rPr>
          <w:rFonts w:asciiTheme="minorHAnsi" w:hAnsiTheme="minorHAnsi" w:cstheme="minorHAnsi"/>
          <w:color w:val="002060"/>
          <w:sz w:val="24"/>
        </w:rPr>
        <w:t xml:space="preserve"> niełatwy jest także telefoniczny kontakt z rekruterem. Z danych Grupy Progres wynika, że etap w</w:t>
      </w:r>
      <w:r w:rsidR="00E233AE" w:rsidRPr="0053464A">
        <w:rPr>
          <w:rFonts w:asciiTheme="minorHAnsi" w:hAnsiTheme="minorHAnsi" w:cstheme="minorHAnsi"/>
          <w:color w:val="002060"/>
          <w:sz w:val="24"/>
        </w:rPr>
        <w:t>ywiad</w:t>
      </w:r>
      <w:r w:rsidRPr="0053464A">
        <w:rPr>
          <w:rFonts w:asciiTheme="minorHAnsi" w:hAnsiTheme="minorHAnsi" w:cstheme="minorHAnsi"/>
          <w:color w:val="002060"/>
          <w:sz w:val="24"/>
        </w:rPr>
        <w:t>u</w:t>
      </w:r>
      <w:r w:rsidR="00E233AE" w:rsidRPr="0053464A">
        <w:rPr>
          <w:rFonts w:asciiTheme="minorHAnsi" w:hAnsiTheme="minorHAnsi" w:cstheme="minorHAnsi"/>
          <w:color w:val="002060"/>
          <w:sz w:val="24"/>
        </w:rPr>
        <w:t xml:space="preserve"> telefoniczn</w:t>
      </w:r>
      <w:r w:rsidRPr="0053464A">
        <w:rPr>
          <w:rFonts w:asciiTheme="minorHAnsi" w:hAnsiTheme="minorHAnsi" w:cstheme="minorHAnsi"/>
          <w:color w:val="002060"/>
          <w:sz w:val="24"/>
        </w:rPr>
        <w:t xml:space="preserve">ego pozwala na wstępną </w:t>
      </w:r>
      <w:r w:rsidR="00E42011" w:rsidRPr="0053464A">
        <w:rPr>
          <w:rFonts w:asciiTheme="minorHAnsi" w:hAnsiTheme="minorHAnsi" w:cstheme="minorHAnsi"/>
          <w:color w:val="002060"/>
          <w:sz w:val="24"/>
        </w:rPr>
        <w:t>weryfikację informacji</w:t>
      </w:r>
      <w:r w:rsidRPr="0053464A">
        <w:rPr>
          <w:rFonts w:asciiTheme="minorHAnsi" w:hAnsiTheme="minorHAnsi" w:cstheme="minorHAnsi"/>
          <w:color w:val="002060"/>
          <w:sz w:val="24"/>
        </w:rPr>
        <w:t xml:space="preserve"> zawartych w CV. Jej skutkiem jest odrzucenie od 16 proc. do nawet 50 proc. kandydatów, </w:t>
      </w:r>
      <w:r w:rsidR="00E03C52">
        <w:rPr>
          <w:rFonts w:asciiTheme="minorHAnsi" w:hAnsiTheme="minorHAnsi" w:cstheme="minorHAnsi"/>
          <w:color w:val="002060"/>
          <w:sz w:val="24"/>
        </w:rPr>
        <w:t xml:space="preserve">w </w:t>
      </w:r>
      <w:r w:rsidRPr="0053464A">
        <w:rPr>
          <w:rFonts w:asciiTheme="minorHAnsi" w:hAnsiTheme="minorHAnsi" w:cstheme="minorHAnsi"/>
          <w:color w:val="002060"/>
          <w:sz w:val="24"/>
        </w:rPr>
        <w:t xml:space="preserve">pierwszej kolejności tych, którzy w swojej aplikacji minęli się z prawdą. </w:t>
      </w:r>
    </w:p>
    <w:p w14:paraId="147B9DB9" w14:textId="655E8351" w:rsidR="006829CF" w:rsidRPr="0053464A" w:rsidRDefault="006829CF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75E0B4B5" w14:textId="300FB71E" w:rsidR="006829CF" w:rsidRPr="0053464A" w:rsidRDefault="006829CF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53464A">
        <w:rPr>
          <w:rFonts w:asciiTheme="minorHAnsi" w:hAnsiTheme="minorHAnsi" w:cstheme="minorHAnsi"/>
          <w:color w:val="002060"/>
          <w:sz w:val="24"/>
        </w:rPr>
        <w:t>Od 10 do 15 proc. osób odpada z grupy, która po pozytywnym przejściu weryfikacji CV i wywiadu telefonicznego (jeśli takowy został zaplanowany)</w:t>
      </w:r>
      <w:r w:rsidR="006E1DD8">
        <w:rPr>
          <w:rFonts w:asciiTheme="minorHAnsi" w:hAnsiTheme="minorHAnsi" w:cstheme="minorHAnsi"/>
          <w:color w:val="002060"/>
          <w:sz w:val="24"/>
        </w:rPr>
        <w:t>,</w:t>
      </w:r>
      <w:r w:rsidRPr="0053464A">
        <w:rPr>
          <w:rFonts w:asciiTheme="minorHAnsi" w:hAnsiTheme="minorHAnsi" w:cstheme="minorHAnsi"/>
          <w:color w:val="002060"/>
          <w:sz w:val="24"/>
        </w:rPr>
        <w:t xml:space="preserve"> dochodzi do etapu spotkania z rekruterem. Wynik odrzuceń zależy od wymagań przyszłego pracodawcy i stanowiska, na które jest prowadzona rekrutacja.</w:t>
      </w:r>
    </w:p>
    <w:p w14:paraId="77D1FAB2" w14:textId="4D8B74E7" w:rsidR="006829CF" w:rsidRPr="0053464A" w:rsidRDefault="006829CF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5B5A2C98" w14:textId="22153D57" w:rsidR="008E0E59" w:rsidRPr="0053464A" w:rsidRDefault="006829CF" w:rsidP="007C0AE6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53464A">
        <w:rPr>
          <w:rFonts w:asciiTheme="minorHAnsi" w:hAnsiTheme="minorHAnsi" w:cstheme="minorHAnsi"/>
          <w:color w:val="002060"/>
          <w:sz w:val="24"/>
        </w:rPr>
        <w:t xml:space="preserve">- 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W trakcie interview zwraca się szczególną uwagę na motywację potencjalnego pracownika, która jest </w:t>
      </w:r>
      <w:r w:rsidR="00F436C1">
        <w:rPr>
          <w:rFonts w:asciiTheme="minorHAnsi" w:hAnsiTheme="minorHAnsi" w:cstheme="minorHAnsi"/>
          <w:i/>
          <w:color w:val="002060"/>
          <w:sz w:val="24"/>
        </w:rPr>
        <w:t>niezbędna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nie tylko do </w:t>
      </w:r>
      <w:r w:rsidR="00E42011" w:rsidRPr="0053464A">
        <w:rPr>
          <w:rFonts w:asciiTheme="minorHAnsi" w:hAnsiTheme="minorHAnsi" w:cstheme="minorHAnsi"/>
          <w:i/>
          <w:color w:val="002060"/>
          <w:sz w:val="24"/>
        </w:rPr>
        <w:t>tego,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aby dostał on pracę, ale </w:t>
      </w:r>
      <w:r w:rsidR="00E42011" w:rsidRPr="0053464A">
        <w:rPr>
          <w:rFonts w:asciiTheme="minorHAnsi" w:hAnsiTheme="minorHAnsi" w:cstheme="minorHAnsi"/>
          <w:i/>
          <w:color w:val="002060"/>
          <w:sz w:val="24"/>
        </w:rPr>
        <w:t>również,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żeby ją utrzymał. Kolejnym aspektem jest doświadczenie. Im bardziej zbieżne z oczekiwaniami Klienta tym lepiej dla Kandydata</w:t>
      </w:r>
      <w:r w:rsidR="00530981" w:rsidRPr="0053464A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530981" w:rsidRPr="0053464A">
        <w:rPr>
          <w:rFonts w:asciiTheme="minorHAnsi" w:hAnsiTheme="minorHAnsi" w:cstheme="minorHAnsi"/>
          <w:color w:val="002060"/>
          <w:sz w:val="24"/>
        </w:rPr>
        <w:t xml:space="preserve">– mówi </w:t>
      </w:r>
      <w:r w:rsidR="00FC1310" w:rsidRPr="0053464A">
        <w:rPr>
          <w:rFonts w:asciiTheme="minorHAnsi" w:hAnsiTheme="minorHAnsi" w:cstheme="minorHAnsi"/>
          <w:color w:val="002060"/>
          <w:sz w:val="24"/>
        </w:rPr>
        <w:t>Katarzyna Borawska</w:t>
      </w:r>
      <w:r w:rsidR="00530981" w:rsidRPr="0053464A">
        <w:rPr>
          <w:rFonts w:asciiTheme="minorHAnsi" w:hAnsiTheme="minorHAnsi" w:cstheme="minorHAnsi"/>
          <w:color w:val="002060"/>
          <w:sz w:val="24"/>
        </w:rPr>
        <w:t xml:space="preserve">, </w:t>
      </w:r>
      <w:r w:rsidR="00FC1310" w:rsidRPr="0053464A">
        <w:rPr>
          <w:rFonts w:asciiTheme="minorHAnsi" w:hAnsiTheme="minorHAnsi" w:cstheme="minorHAnsi"/>
          <w:color w:val="002060"/>
          <w:sz w:val="24"/>
        </w:rPr>
        <w:t xml:space="preserve">Kierownik </w:t>
      </w:r>
      <w:r w:rsidR="00530981" w:rsidRPr="0053464A">
        <w:rPr>
          <w:rFonts w:asciiTheme="minorHAnsi" w:hAnsiTheme="minorHAnsi" w:cstheme="minorHAnsi"/>
          <w:color w:val="002060"/>
          <w:sz w:val="24"/>
        </w:rPr>
        <w:t>Regionu</w:t>
      </w:r>
      <w:r w:rsidR="00FC1310" w:rsidRPr="0053464A">
        <w:rPr>
          <w:rFonts w:asciiTheme="minorHAnsi" w:hAnsiTheme="minorHAnsi" w:cstheme="minorHAnsi"/>
          <w:color w:val="002060"/>
          <w:sz w:val="24"/>
        </w:rPr>
        <w:t xml:space="preserve"> Rekrutacji Stałych w</w:t>
      </w:r>
      <w:r w:rsidR="00530981" w:rsidRPr="0053464A">
        <w:rPr>
          <w:rFonts w:asciiTheme="minorHAnsi" w:hAnsiTheme="minorHAnsi" w:cstheme="minorHAnsi"/>
          <w:color w:val="002060"/>
          <w:sz w:val="24"/>
        </w:rPr>
        <w:t xml:space="preserve"> Grup</w:t>
      </w:r>
      <w:r w:rsidR="00FC1310" w:rsidRPr="0053464A">
        <w:rPr>
          <w:rFonts w:asciiTheme="minorHAnsi" w:hAnsiTheme="minorHAnsi" w:cstheme="minorHAnsi"/>
          <w:color w:val="002060"/>
          <w:sz w:val="24"/>
        </w:rPr>
        <w:t>ie</w:t>
      </w:r>
      <w:r w:rsidR="00530981" w:rsidRPr="0053464A">
        <w:rPr>
          <w:rFonts w:asciiTheme="minorHAnsi" w:hAnsiTheme="minorHAnsi" w:cstheme="minorHAnsi"/>
          <w:color w:val="002060"/>
          <w:sz w:val="24"/>
        </w:rPr>
        <w:t xml:space="preserve"> Progres. –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Jeżeli</w:t>
      </w:r>
      <w:r w:rsidR="00FC1310" w:rsidRPr="0053464A">
        <w:rPr>
          <w:rFonts w:asciiTheme="minorHAnsi" w:hAnsiTheme="minorHAnsi" w:cstheme="minorHAnsi"/>
          <w:i/>
          <w:color w:val="002060"/>
          <w:sz w:val="24"/>
        </w:rPr>
        <w:t xml:space="preserve"> za proces rekrutacji odpowiada agencja, jego uczestnicy muszą liczyć się z tym, że najważniejsze będą kompetencje twarde i wybór kandydatów </w:t>
      </w:r>
      <w:r w:rsidRPr="0053464A">
        <w:rPr>
          <w:rFonts w:asciiTheme="minorHAnsi" w:hAnsiTheme="minorHAnsi" w:cstheme="minorHAnsi"/>
          <w:i/>
          <w:color w:val="002060"/>
          <w:sz w:val="24"/>
        </w:rPr>
        <w:t>najbardziej odpowiadając</w:t>
      </w:r>
      <w:r w:rsidR="00FC1310" w:rsidRPr="0053464A">
        <w:rPr>
          <w:rFonts w:asciiTheme="minorHAnsi" w:hAnsiTheme="minorHAnsi" w:cstheme="minorHAnsi"/>
          <w:i/>
          <w:color w:val="002060"/>
          <w:sz w:val="24"/>
        </w:rPr>
        <w:t>ych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FC1310" w:rsidRPr="0053464A">
        <w:rPr>
          <w:rFonts w:asciiTheme="minorHAnsi" w:hAnsiTheme="minorHAnsi" w:cstheme="minorHAnsi"/>
          <w:i/>
          <w:color w:val="002060"/>
          <w:sz w:val="24"/>
        </w:rPr>
        <w:t>przyszłemu pracodawcy.</w:t>
      </w:r>
      <w:r w:rsidRPr="0053464A">
        <w:rPr>
          <w:rFonts w:asciiTheme="minorHAnsi" w:hAnsiTheme="minorHAnsi" w:cstheme="minorHAnsi"/>
          <w:i/>
          <w:color w:val="002060"/>
          <w:sz w:val="24"/>
        </w:rPr>
        <w:t xml:space="preserve"> Sprawdzamy </w:t>
      </w:r>
      <w:r w:rsidR="00F436C1">
        <w:rPr>
          <w:rFonts w:asciiTheme="minorHAnsi" w:hAnsiTheme="minorHAnsi" w:cstheme="minorHAnsi"/>
          <w:i/>
          <w:color w:val="002060"/>
          <w:sz w:val="24"/>
        </w:rPr>
        <w:t xml:space="preserve">wiele umiejętności, </w:t>
      </w:r>
      <w:r w:rsidRPr="0053464A">
        <w:rPr>
          <w:rFonts w:asciiTheme="minorHAnsi" w:hAnsiTheme="minorHAnsi" w:cstheme="minorHAnsi"/>
          <w:i/>
          <w:color w:val="002060"/>
          <w:sz w:val="24"/>
        </w:rPr>
        <w:t>również znajomość języków obcych</w:t>
      </w:r>
      <w:r w:rsidR="008E0E59" w:rsidRPr="0053464A">
        <w:rPr>
          <w:rFonts w:asciiTheme="minorHAnsi" w:hAnsiTheme="minorHAnsi" w:cstheme="minorHAnsi"/>
          <w:i/>
          <w:color w:val="002060"/>
          <w:sz w:val="24"/>
        </w:rPr>
        <w:t xml:space="preserve">, która niestety często bywa niewystarczająca i powoduje odrzucenie znacznej liczby kandydatów </w:t>
      </w:r>
      <w:r w:rsidR="008E0E59" w:rsidRPr="0053464A">
        <w:rPr>
          <w:rFonts w:asciiTheme="minorHAnsi" w:hAnsiTheme="minorHAnsi" w:cstheme="minorHAnsi"/>
          <w:color w:val="002060"/>
          <w:sz w:val="24"/>
        </w:rPr>
        <w:t>– zaznacza Katarzyna Borawska.</w:t>
      </w:r>
    </w:p>
    <w:p w14:paraId="61D2F2BF" w14:textId="77777777" w:rsidR="008E0E59" w:rsidRPr="0053464A" w:rsidRDefault="008E0E59" w:rsidP="007C0AE6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</w:p>
    <w:p w14:paraId="7E27BC71" w14:textId="4F6DE34B" w:rsidR="008E0E59" w:rsidRPr="0053464A" w:rsidRDefault="008E0E59" w:rsidP="007C0AE6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53464A">
        <w:rPr>
          <w:rFonts w:asciiTheme="minorHAnsi" w:hAnsiTheme="minorHAnsi" w:cstheme="minorHAnsi"/>
          <w:b/>
          <w:color w:val="002060"/>
          <w:sz w:val="24"/>
        </w:rPr>
        <w:t>Oko w oko z pracodawcą</w:t>
      </w:r>
    </w:p>
    <w:p w14:paraId="45B59235" w14:textId="49CCB391" w:rsidR="008E0E59" w:rsidRPr="0053464A" w:rsidRDefault="008E0E59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71B50739" w14:textId="60ECEDCC" w:rsidR="008E0E59" w:rsidRPr="006A4197" w:rsidRDefault="008E0E59" w:rsidP="008E0E59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53464A">
        <w:rPr>
          <w:rFonts w:asciiTheme="minorHAnsi" w:hAnsiTheme="minorHAnsi" w:cstheme="minorHAnsi"/>
          <w:color w:val="002060"/>
          <w:sz w:val="24"/>
        </w:rPr>
        <w:t>Liczba osób, które docierają do ostatniego etapu</w:t>
      </w:r>
      <w:r w:rsidR="002333C2" w:rsidRPr="0053464A">
        <w:rPr>
          <w:rFonts w:asciiTheme="minorHAnsi" w:hAnsiTheme="minorHAnsi" w:cstheme="minorHAnsi"/>
          <w:color w:val="002060"/>
          <w:sz w:val="24"/>
        </w:rPr>
        <w:t xml:space="preserve"> - spotkania z potencjalnym pracodawcą </w:t>
      </w:r>
      <w:r w:rsidR="00E42011" w:rsidRPr="0053464A">
        <w:rPr>
          <w:rFonts w:asciiTheme="minorHAnsi" w:hAnsiTheme="minorHAnsi" w:cstheme="minorHAnsi"/>
          <w:color w:val="002060"/>
          <w:sz w:val="24"/>
        </w:rPr>
        <w:t>- zależy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od tego</w:t>
      </w:r>
      <w:r w:rsidR="006E1DD8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ilu dobrych kandydatów udało się </w:t>
      </w:r>
      <w:r w:rsidR="00BF080B"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znaleźć</w:t>
      </w:r>
      <w:r w:rsidR="00BF080B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rekrutrowi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  <w:r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Firmy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często spotykają się z większą</w:t>
      </w:r>
      <w:r w:rsidR="0053464A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grupą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2333C2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osób</w:t>
      </w:r>
      <w:r w:rsidRPr="006A41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mając nadzieję, że z tej puli wybiorą dodatkowo kogoś na inne stanowisko. </w:t>
      </w:r>
      <w:r w:rsidR="00410C6C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Zdarzają się sytuacje, gdy do </w:t>
      </w:r>
      <w:r w:rsidR="00FF54D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rozmowy</w:t>
      </w:r>
      <w:r w:rsidR="00410C6C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53464A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dochodzi w przypadku </w:t>
      </w:r>
      <w:r w:rsidRPr="002440F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nawet 50</w:t>
      </w:r>
      <w:r w:rsidR="00F436C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proc.</w:t>
      </w:r>
      <w:r w:rsidRPr="002440F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kandydatów</w:t>
      </w:r>
      <w:r w:rsidR="0053464A" w:rsidRPr="0053464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jednak są one rzadkością. </w:t>
      </w:r>
    </w:p>
    <w:p w14:paraId="276F905F" w14:textId="77777777" w:rsidR="0053464A" w:rsidRDefault="0053464A" w:rsidP="007C0AE6">
      <w:pPr>
        <w:spacing w:line="276" w:lineRule="auto"/>
        <w:jc w:val="both"/>
        <w:rPr>
          <w:color w:val="002060"/>
          <w:sz w:val="24"/>
        </w:rPr>
      </w:pPr>
    </w:p>
    <w:p w14:paraId="142D62EA" w14:textId="7EDD2F0D" w:rsidR="0053464A" w:rsidRDefault="0053464A" w:rsidP="007C0AE6">
      <w:pPr>
        <w:spacing w:line="276" w:lineRule="auto"/>
        <w:jc w:val="both"/>
        <w:rPr>
          <w:color w:val="002060"/>
          <w:sz w:val="24"/>
        </w:rPr>
      </w:pPr>
      <w:r w:rsidRPr="0053464A">
        <w:rPr>
          <w:color w:val="002060"/>
          <w:sz w:val="24"/>
        </w:rPr>
        <w:t xml:space="preserve">Rynek pracownika sprawia, że </w:t>
      </w:r>
      <w:r w:rsidR="006829CF" w:rsidRPr="0053464A">
        <w:rPr>
          <w:color w:val="002060"/>
          <w:sz w:val="24"/>
        </w:rPr>
        <w:t xml:space="preserve">oczekiwania finansowe </w:t>
      </w:r>
      <w:r w:rsidRPr="0053464A">
        <w:rPr>
          <w:color w:val="002060"/>
          <w:sz w:val="24"/>
        </w:rPr>
        <w:t>k</w:t>
      </w:r>
      <w:r w:rsidR="006829CF" w:rsidRPr="0053464A">
        <w:rPr>
          <w:color w:val="002060"/>
          <w:sz w:val="24"/>
        </w:rPr>
        <w:t xml:space="preserve">andydatów rosną z dnia na dzień. Niestety </w:t>
      </w:r>
      <w:r w:rsidRPr="0053464A">
        <w:rPr>
          <w:color w:val="002060"/>
          <w:sz w:val="24"/>
        </w:rPr>
        <w:t>analogicznego wzrostu nie widać u</w:t>
      </w:r>
      <w:r w:rsidR="006829CF" w:rsidRPr="0053464A">
        <w:rPr>
          <w:color w:val="002060"/>
          <w:sz w:val="24"/>
        </w:rPr>
        <w:t xml:space="preserve"> </w:t>
      </w:r>
      <w:r w:rsidRPr="0053464A">
        <w:rPr>
          <w:color w:val="002060"/>
          <w:sz w:val="24"/>
        </w:rPr>
        <w:t>firm mających ograniczone budżety.</w:t>
      </w:r>
      <w:r w:rsidR="006829CF" w:rsidRPr="0053464A">
        <w:rPr>
          <w:color w:val="002060"/>
          <w:sz w:val="24"/>
        </w:rPr>
        <w:t xml:space="preserve"> </w:t>
      </w:r>
      <w:r w:rsidRPr="0053464A">
        <w:rPr>
          <w:color w:val="002060"/>
          <w:sz w:val="24"/>
        </w:rPr>
        <w:t>Dlatego</w:t>
      </w:r>
      <w:r w:rsidR="006829CF" w:rsidRPr="0053464A">
        <w:rPr>
          <w:color w:val="002060"/>
          <w:sz w:val="24"/>
        </w:rPr>
        <w:t xml:space="preserve"> kolejn</w:t>
      </w:r>
      <w:r w:rsidR="00FF54DA">
        <w:rPr>
          <w:color w:val="002060"/>
          <w:sz w:val="24"/>
        </w:rPr>
        <w:t>ą</w:t>
      </w:r>
      <w:r w:rsidR="006829CF" w:rsidRPr="0053464A">
        <w:rPr>
          <w:color w:val="002060"/>
          <w:sz w:val="24"/>
        </w:rPr>
        <w:t xml:space="preserve"> drażliw</w:t>
      </w:r>
      <w:r w:rsidR="00FF54DA">
        <w:rPr>
          <w:color w:val="002060"/>
          <w:sz w:val="24"/>
        </w:rPr>
        <w:t>ą</w:t>
      </w:r>
      <w:r w:rsidR="00E42011">
        <w:rPr>
          <w:color w:val="002060"/>
          <w:sz w:val="24"/>
        </w:rPr>
        <w:t xml:space="preserve"> kwestią</w:t>
      </w:r>
      <w:r w:rsidR="006829CF" w:rsidRPr="0053464A">
        <w:rPr>
          <w:color w:val="002060"/>
          <w:sz w:val="24"/>
        </w:rPr>
        <w:t>, przez któr</w:t>
      </w:r>
      <w:r w:rsidR="00E42011">
        <w:rPr>
          <w:color w:val="002060"/>
          <w:sz w:val="24"/>
        </w:rPr>
        <w:t>ą</w:t>
      </w:r>
      <w:r w:rsidR="006829CF" w:rsidRPr="0053464A">
        <w:rPr>
          <w:color w:val="002060"/>
          <w:sz w:val="24"/>
        </w:rPr>
        <w:t xml:space="preserve"> odpada</w:t>
      </w:r>
      <w:r w:rsidRPr="0053464A">
        <w:rPr>
          <w:color w:val="002060"/>
          <w:sz w:val="24"/>
        </w:rPr>
        <w:t xml:space="preserve">ją </w:t>
      </w:r>
      <w:r w:rsidR="00F436C1">
        <w:rPr>
          <w:color w:val="002060"/>
          <w:sz w:val="24"/>
        </w:rPr>
        <w:t>starający się o etat</w:t>
      </w:r>
      <w:r w:rsidRPr="0053464A">
        <w:rPr>
          <w:color w:val="002060"/>
          <w:sz w:val="24"/>
        </w:rPr>
        <w:t xml:space="preserve"> </w:t>
      </w:r>
      <w:r w:rsidR="006829CF" w:rsidRPr="0053464A">
        <w:rPr>
          <w:color w:val="002060"/>
          <w:sz w:val="24"/>
        </w:rPr>
        <w:t>są ich oczekiwania finansowe.</w:t>
      </w:r>
      <w:r w:rsidR="00F60D97">
        <w:rPr>
          <w:color w:val="002060"/>
          <w:sz w:val="24"/>
        </w:rPr>
        <w:t xml:space="preserve"> </w:t>
      </w:r>
      <w:r w:rsidRPr="00F436C1">
        <w:rPr>
          <w:color w:val="002060"/>
          <w:sz w:val="24"/>
        </w:rPr>
        <w:t>Kandydaci</w:t>
      </w:r>
      <w:r w:rsidRPr="0053464A">
        <w:rPr>
          <w:color w:val="002060"/>
          <w:sz w:val="24"/>
        </w:rPr>
        <w:t xml:space="preserve"> w niektórych branżach </w:t>
      </w:r>
      <w:r w:rsidR="00F60D97">
        <w:rPr>
          <w:color w:val="002060"/>
          <w:sz w:val="24"/>
        </w:rPr>
        <w:t>np.</w:t>
      </w:r>
      <w:r w:rsidRPr="0053464A">
        <w:rPr>
          <w:color w:val="002060"/>
          <w:sz w:val="24"/>
        </w:rPr>
        <w:t xml:space="preserve"> IT, Utrzymanie Ruchu, BPO z językami innymi niż angielski, mogą dyktować warunki. </w:t>
      </w:r>
      <w:r w:rsidR="00F60D97">
        <w:rPr>
          <w:color w:val="002060"/>
          <w:sz w:val="24"/>
        </w:rPr>
        <w:t>W pozostałych branżach to</w:t>
      </w:r>
      <w:r w:rsidRPr="0053464A">
        <w:rPr>
          <w:color w:val="002060"/>
          <w:sz w:val="24"/>
        </w:rPr>
        <w:t xml:space="preserve"> </w:t>
      </w:r>
      <w:r w:rsidR="00F60D97">
        <w:rPr>
          <w:color w:val="002060"/>
          <w:sz w:val="24"/>
        </w:rPr>
        <w:t>pr</w:t>
      </w:r>
      <w:r w:rsidRPr="0053464A">
        <w:rPr>
          <w:color w:val="002060"/>
          <w:sz w:val="24"/>
        </w:rPr>
        <w:t>acodawcy</w:t>
      </w:r>
      <w:r w:rsidR="00F60D97">
        <w:rPr>
          <w:color w:val="002060"/>
          <w:sz w:val="24"/>
        </w:rPr>
        <w:t>, cały czas,</w:t>
      </w:r>
      <w:r w:rsidRPr="0053464A">
        <w:rPr>
          <w:color w:val="002060"/>
          <w:sz w:val="24"/>
        </w:rPr>
        <w:t xml:space="preserve"> decydują o wynagrodzeniu i niechętnie negocjują cokolwiek poza założonymi wcześniej widełkami. </w:t>
      </w:r>
      <w:r w:rsidR="00F60D97">
        <w:rPr>
          <w:color w:val="002060"/>
          <w:sz w:val="24"/>
        </w:rPr>
        <w:t>Są jednak wyjątki</w:t>
      </w:r>
      <w:r w:rsidR="00935535">
        <w:rPr>
          <w:color w:val="002060"/>
          <w:sz w:val="24"/>
        </w:rPr>
        <w:t xml:space="preserve"> - </w:t>
      </w:r>
      <w:r w:rsidR="00F60D97">
        <w:rPr>
          <w:color w:val="002060"/>
          <w:sz w:val="24"/>
        </w:rPr>
        <w:t>kandydaci</w:t>
      </w:r>
      <w:r w:rsidRPr="0053464A">
        <w:rPr>
          <w:color w:val="002060"/>
          <w:sz w:val="24"/>
        </w:rPr>
        <w:t xml:space="preserve"> o wybitnych umiejętnościach, potwierdzonych wcześniejszym doświadczeniem, którzy są w stanie wnieść dużo nowoczesnych rozwiązań, </w:t>
      </w:r>
      <w:r w:rsidR="00E42011" w:rsidRPr="0053464A">
        <w:rPr>
          <w:color w:val="002060"/>
          <w:sz w:val="24"/>
        </w:rPr>
        <w:t xml:space="preserve">mogą </w:t>
      </w:r>
      <w:r w:rsidR="00E42011">
        <w:rPr>
          <w:color w:val="002060"/>
          <w:sz w:val="24"/>
        </w:rPr>
        <w:t xml:space="preserve">oni </w:t>
      </w:r>
      <w:r w:rsidRPr="0053464A">
        <w:rPr>
          <w:color w:val="002060"/>
          <w:sz w:val="24"/>
        </w:rPr>
        <w:t>uzyskać więcej niż wstępnie zabudżetowa</w:t>
      </w:r>
      <w:r w:rsidR="00F60D97">
        <w:rPr>
          <w:color w:val="002060"/>
          <w:sz w:val="24"/>
        </w:rPr>
        <w:t>ła firma.</w:t>
      </w:r>
    </w:p>
    <w:p w14:paraId="7AEC9375" w14:textId="60E1FBC5" w:rsidR="00F60D97" w:rsidRDefault="00F60D97" w:rsidP="007C0AE6">
      <w:pPr>
        <w:spacing w:line="276" w:lineRule="auto"/>
        <w:jc w:val="both"/>
        <w:rPr>
          <w:color w:val="002060"/>
          <w:sz w:val="24"/>
        </w:rPr>
      </w:pPr>
    </w:p>
    <w:p w14:paraId="58848F9A" w14:textId="5160448F" w:rsidR="00F60D97" w:rsidRDefault="00F60D97" w:rsidP="007C0AE6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W ostatnim etapie </w:t>
      </w:r>
      <w:r w:rsidR="00E42011">
        <w:rPr>
          <w:color w:val="002060"/>
          <w:sz w:val="24"/>
        </w:rPr>
        <w:t>pomagają</w:t>
      </w:r>
      <w:r>
        <w:rPr>
          <w:color w:val="002060"/>
          <w:sz w:val="24"/>
        </w:rPr>
        <w:t xml:space="preserve"> także referencje. </w:t>
      </w:r>
      <w:r w:rsidR="00FF54DA">
        <w:rPr>
          <w:color w:val="002060"/>
          <w:sz w:val="24"/>
        </w:rPr>
        <w:t xml:space="preserve">Za granicą </w:t>
      </w:r>
      <w:r w:rsidR="00FF54DA" w:rsidRPr="00FF54DA">
        <w:rPr>
          <w:color w:val="002060"/>
          <w:sz w:val="24"/>
        </w:rPr>
        <w:t>(Europa Zachodnia, USA)</w:t>
      </w:r>
      <w:r w:rsidR="00FF54DA">
        <w:rPr>
          <w:color w:val="002060"/>
          <w:sz w:val="24"/>
        </w:rPr>
        <w:t xml:space="preserve"> ich </w:t>
      </w:r>
      <w:r w:rsidR="00FF54DA" w:rsidRPr="00FF54DA">
        <w:rPr>
          <w:color w:val="002060"/>
          <w:sz w:val="24"/>
        </w:rPr>
        <w:t xml:space="preserve">posiadanie jest warunkiem </w:t>
      </w:r>
      <w:r w:rsidR="00FF54DA">
        <w:rPr>
          <w:color w:val="002060"/>
          <w:sz w:val="24"/>
        </w:rPr>
        <w:t xml:space="preserve">koniecznym do objęcia wysokiego </w:t>
      </w:r>
      <w:r w:rsidR="00FF54DA" w:rsidRPr="00FF54DA">
        <w:rPr>
          <w:color w:val="002060"/>
          <w:sz w:val="24"/>
        </w:rPr>
        <w:t>stanowiska.</w:t>
      </w:r>
      <w:r w:rsidR="00FF54DA">
        <w:rPr>
          <w:color w:val="002060"/>
          <w:sz w:val="24"/>
        </w:rPr>
        <w:t xml:space="preserve"> W Polsce o referencje pracowników niewykwalifikowanych prosi się </w:t>
      </w:r>
      <w:r w:rsidRPr="00F60D97">
        <w:rPr>
          <w:color w:val="002060"/>
          <w:sz w:val="24"/>
        </w:rPr>
        <w:t xml:space="preserve">niezmiernie rzadko, jednak </w:t>
      </w:r>
      <w:r w:rsidR="00FF54DA">
        <w:rPr>
          <w:color w:val="002060"/>
          <w:sz w:val="24"/>
        </w:rPr>
        <w:t>im wyższe kwalifikacje</w:t>
      </w:r>
      <w:r w:rsidRPr="00F60D97">
        <w:rPr>
          <w:color w:val="002060"/>
          <w:sz w:val="24"/>
        </w:rPr>
        <w:t xml:space="preserve"> tym większa potrzeba weryfikacji referencji u poprzednich pracodawców. Na stanowiskach produkcyjnych – jest to ok. 5-10</w:t>
      </w:r>
      <w:r w:rsidR="00FF54DA">
        <w:rPr>
          <w:color w:val="002060"/>
          <w:sz w:val="24"/>
        </w:rPr>
        <w:t xml:space="preserve"> proc</w:t>
      </w:r>
      <w:r w:rsidRPr="00F60D97">
        <w:rPr>
          <w:color w:val="002060"/>
          <w:sz w:val="24"/>
        </w:rPr>
        <w:t>, średni i wyższy szczebel – ok. 5</w:t>
      </w:r>
      <w:r w:rsidR="00FF54DA">
        <w:rPr>
          <w:color w:val="002060"/>
          <w:sz w:val="24"/>
        </w:rPr>
        <w:t>0 proc</w:t>
      </w:r>
      <w:r w:rsidRPr="00F60D97">
        <w:rPr>
          <w:color w:val="002060"/>
          <w:sz w:val="24"/>
        </w:rPr>
        <w:t>.</w:t>
      </w:r>
      <w:r>
        <w:rPr>
          <w:color w:val="002060"/>
          <w:sz w:val="24"/>
        </w:rPr>
        <w:t xml:space="preserve"> </w:t>
      </w:r>
      <w:r w:rsidRPr="00F60D97">
        <w:rPr>
          <w:color w:val="002060"/>
          <w:sz w:val="24"/>
        </w:rPr>
        <w:t xml:space="preserve">Dobrymi referencjami na piśmie można miło zaskoczyć </w:t>
      </w:r>
      <w:r w:rsidR="00E42011">
        <w:rPr>
          <w:color w:val="002060"/>
          <w:sz w:val="24"/>
        </w:rPr>
        <w:t>p</w:t>
      </w:r>
      <w:r w:rsidRPr="00F60D97">
        <w:rPr>
          <w:color w:val="002060"/>
          <w:sz w:val="24"/>
        </w:rPr>
        <w:t xml:space="preserve">racodawcę.  Nie jest ważny </w:t>
      </w:r>
      <w:r w:rsidR="00E42011" w:rsidRPr="00F60D97">
        <w:rPr>
          <w:color w:val="002060"/>
          <w:sz w:val="24"/>
        </w:rPr>
        <w:t>fakt</w:t>
      </w:r>
      <w:r w:rsidRPr="00F60D97">
        <w:rPr>
          <w:color w:val="002060"/>
          <w:sz w:val="24"/>
        </w:rPr>
        <w:t xml:space="preserve"> czy </w:t>
      </w:r>
      <w:r w:rsidR="00E42011">
        <w:rPr>
          <w:color w:val="002060"/>
          <w:sz w:val="24"/>
        </w:rPr>
        <w:t>p</w:t>
      </w:r>
      <w:r w:rsidRPr="00F60D97">
        <w:rPr>
          <w:color w:val="002060"/>
          <w:sz w:val="24"/>
        </w:rPr>
        <w:t xml:space="preserve">racodawca poprosi o to czy nie. Mając takie dokumenty budujemy własną przewagę nad innymi </w:t>
      </w:r>
      <w:r w:rsidR="00E42011">
        <w:rPr>
          <w:color w:val="002060"/>
          <w:sz w:val="24"/>
        </w:rPr>
        <w:t>k</w:t>
      </w:r>
      <w:r w:rsidRPr="00F60D97">
        <w:rPr>
          <w:color w:val="002060"/>
          <w:sz w:val="24"/>
        </w:rPr>
        <w:t xml:space="preserve">andydatami. </w:t>
      </w:r>
      <w:bookmarkStart w:id="2" w:name="_Hlk971770"/>
    </w:p>
    <w:bookmarkEnd w:id="2"/>
    <w:p w14:paraId="628A3F3D" w14:textId="01DAE9B6" w:rsidR="00F60D97" w:rsidRDefault="00F60D97" w:rsidP="007C0AE6">
      <w:pPr>
        <w:spacing w:line="276" w:lineRule="auto"/>
        <w:jc w:val="both"/>
        <w:rPr>
          <w:color w:val="002060"/>
          <w:sz w:val="24"/>
        </w:rPr>
      </w:pPr>
    </w:p>
    <w:p w14:paraId="464492E7" w14:textId="3609E991" w:rsidR="00F436C1" w:rsidRPr="00E233AE" w:rsidRDefault="00F436C1" w:rsidP="007C0AE6">
      <w:pPr>
        <w:spacing w:line="276" w:lineRule="auto"/>
        <w:jc w:val="both"/>
        <w:rPr>
          <w:color w:val="002060"/>
          <w:sz w:val="24"/>
        </w:rPr>
      </w:pPr>
      <w:r w:rsidRPr="00F436C1">
        <w:rPr>
          <w:color w:val="002060"/>
          <w:sz w:val="24"/>
        </w:rPr>
        <w:t xml:space="preserve">W informacji wykorzystano dane Grupy Progres za 2018 r. analizujące 28 330 aplikacji na oferowane stanowiska.  </w:t>
      </w:r>
    </w:p>
    <w:p w14:paraId="64B16F73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70E4" w14:textId="77777777" w:rsidR="002A406D" w:rsidRDefault="002A406D" w:rsidP="00B332FF">
      <w:r>
        <w:separator/>
      </w:r>
    </w:p>
  </w:endnote>
  <w:endnote w:type="continuationSeparator" w:id="0">
    <w:p w14:paraId="4149EC8E" w14:textId="77777777" w:rsidR="002A406D" w:rsidRDefault="002A406D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97FD" w14:textId="77777777" w:rsidR="002A406D" w:rsidRDefault="002A406D" w:rsidP="00B332FF">
      <w:r>
        <w:separator/>
      </w:r>
    </w:p>
  </w:footnote>
  <w:footnote w:type="continuationSeparator" w:id="0">
    <w:p w14:paraId="0F81C045" w14:textId="77777777" w:rsidR="002A406D" w:rsidRDefault="002A406D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36102"/>
    <w:rsid w:val="000924FC"/>
    <w:rsid w:val="000B2757"/>
    <w:rsid w:val="000D60DF"/>
    <w:rsid w:val="000E6326"/>
    <w:rsid w:val="001126CB"/>
    <w:rsid w:val="00114250"/>
    <w:rsid w:val="001834B1"/>
    <w:rsid w:val="001A75A5"/>
    <w:rsid w:val="001E74E4"/>
    <w:rsid w:val="00231305"/>
    <w:rsid w:val="002333C2"/>
    <w:rsid w:val="002547CE"/>
    <w:rsid w:val="002A1444"/>
    <w:rsid w:val="002A406D"/>
    <w:rsid w:val="002C19BC"/>
    <w:rsid w:val="002F6058"/>
    <w:rsid w:val="00391CE0"/>
    <w:rsid w:val="003A5053"/>
    <w:rsid w:val="003A6667"/>
    <w:rsid w:val="003B2C2A"/>
    <w:rsid w:val="004062B8"/>
    <w:rsid w:val="00410C6C"/>
    <w:rsid w:val="004323D1"/>
    <w:rsid w:val="00465B97"/>
    <w:rsid w:val="004815B8"/>
    <w:rsid w:val="004E3C8A"/>
    <w:rsid w:val="004F1E0F"/>
    <w:rsid w:val="00512F62"/>
    <w:rsid w:val="00516A5A"/>
    <w:rsid w:val="005262E5"/>
    <w:rsid w:val="00530981"/>
    <w:rsid w:val="0053464A"/>
    <w:rsid w:val="00540F74"/>
    <w:rsid w:val="00572EF3"/>
    <w:rsid w:val="0059056F"/>
    <w:rsid w:val="00596452"/>
    <w:rsid w:val="005A3F81"/>
    <w:rsid w:val="005D1823"/>
    <w:rsid w:val="00670266"/>
    <w:rsid w:val="006751EB"/>
    <w:rsid w:val="006829CF"/>
    <w:rsid w:val="006E1DD8"/>
    <w:rsid w:val="006E657F"/>
    <w:rsid w:val="00733113"/>
    <w:rsid w:val="007C0AE6"/>
    <w:rsid w:val="007C50A0"/>
    <w:rsid w:val="007C7859"/>
    <w:rsid w:val="007D1FD1"/>
    <w:rsid w:val="007D2EEF"/>
    <w:rsid w:val="007F55BA"/>
    <w:rsid w:val="0088277C"/>
    <w:rsid w:val="0089087A"/>
    <w:rsid w:val="008B7179"/>
    <w:rsid w:val="008E0E59"/>
    <w:rsid w:val="00935535"/>
    <w:rsid w:val="00937AF8"/>
    <w:rsid w:val="00974C5D"/>
    <w:rsid w:val="009A75F4"/>
    <w:rsid w:val="009C23BE"/>
    <w:rsid w:val="009E5B91"/>
    <w:rsid w:val="009F7EC3"/>
    <w:rsid w:val="00A22AC8"/>
    <w:rsid w:val="00A31144"/>
    <w:rsid w:val="00A56124"/>
    <w:rsid w:val="00A636C7"/>
    <w:rsid w:val="00A7049D"/>
    <w:rsid w:val="00A803E6"/>
    <w:rsid w:val="00A87FE3"/>
    <w:rsid w:val="00AE48F0"/>
    <w:rsid w:val="00AF7D6A"/>
    <w:rsid w:val="00B332FF"/>
    <w:rsid w:val="00BE1F69"/>
    <w:rsid w:val="00BE7867"/>
    <w:rsid w:val="00BF080B"/>
    <w:rsid w:val="00D24642"/>
    <w:rsid w:val="00DF5583"/>
    <w:rsid w:val="00E03C52"/>
    <w:rsid w:val="00E05548"/>
    <w:rsid w:val="00E233AE"/>
    <w:rsid w:val="00E42011"/>
    <w:rsid w:val="00E50747"/>
    <w:rsid w:val="00E65520"/>
    <w:rsid w:val="00E8569E"/>
    <w:rsid w:val="00EC74E8"/>
    <w:rsid w:val="00ED62E3"/>
    <w:rsid w:val="00F1211C"/>
    <w:rsid w:val="00F125CF"/>
    <w:rsid w:val="00F436C1"/>
    <w:rsid w:val="00F44C66"/>
    <w:rsid w:val="00F60D97"/>
    <w:rsid w:val="00FB77FC"/>
    <w:rsid w:val="00FC131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D149-C6B8-421E-9A89-455336E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2018-10-09T07:31:00Z</cp:lastPrinted>
  <dcterms:created xsi:type="dcterms:W3CDTF">2019-02-13T17:50:00Z</dcterms:created>
  <dcterms:modified xsi:type="dcterms:W3CDTF">2019-02-21T08:08:00Z</dcterms:modified>
</cp:coreProperties>
</file>