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140234CF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0F2184">
        <w:rPr>
          <w:b/>
          <w:color w:val="002060"/>
        </w:rPr>
        <w:t>1</w:t>
      </w:r>
      <w:r w:rsidR="005572DC">
        <w:rPr>
          <w:b/>
          <w:color w:val="002060"/>
        </w:rPr>
        <w:t>8</w:t>
      </w:r>
      <w:r w:rsidRPr="000924FC">
        <w:rPr>
          <w:b/>
          <w:color w:val="002060"/>
        </w:rPr>
        <w:t>.0</w:t>
      </w:r>
      <w:r w:rsidR="002A1444">
        <w:rPr>
          <w:b/>
          <w:color w:val="002060"/>
        </w:rPr>
        <w:t>2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3AF5FE5B" w14:textId="77777777" w:rsidR="00FA0D57" w:rsidRDefault="00FA0D57" w:rsidP="007E305F">
      <w:pPr>
        <w:jc w:val="center"/>
        <w:rPr>
          <w:b/>
          <w:color w:val="002060"/>
          <w:sz w:val="28"/>
          <w:szCs w:val="28"/>
        </w:rPr>
      </w:pPr>
    </w:p>
    <w:p w14:paraId="630D2479" w14:textId="59E4D616" w:rsidR="007E305F" w:rsidRPr="007E305F" w:rsidRDefault="007E305F" w:rsidP="007E305F">
      <w:pPr>
        <w:jc w:val="center"/>
        <w:rPr>
          <w:b/>
          <w:color w:val="002060"/>
          <w:sz w:val="28"/>
          <w:szCs w:val="28"/>
        </w:rPr>
      </w:pPr>
      <w:r w:rsidRPr="007E305F">
        <w:rPr>
          <w:b/>
          <w:color w:val="002060"/>
          <w:sz w:val="28"/>
          <w:szCs w:val="28"/>
        </w:rPr>
        <w:t>DZIĘKUJEMY I ZAPRASZAMY PONOWNIE – POLSKI HANDEL POTRZBUJE PRACOWNIKÓW</w:t>
      </w:r>
      <w:r w:rsidR="00A0393B">
        <w:rPr>
          <w:b/>
          <w:color w:val="002060"/>
          <w:sz w:val="28"/>
          <w:szCs w:val="28"/>
        </w:rPr>
        <w:t xml:space="preserve"> </w:t>
      </w:r>
    </w:p>
    <w:p w14:paraId="77AB9501" w14:textId="77777777" w:rsidR="007E305F" w:rsidRPr="007E305F" w:rsidRDefault="007E305F" w:rsidP="007E305F">
      <w:pPr>
        <w:jc w:val="both"/>
        <w:rPr>
          <w:color w:val="002060"/>
        </w:rPr>
      </w:pPr>
    </w:p>
    <w:p w14:paraId="0A3D206F" w14:textId="1205588F" w:rsidR="007E305F" w:rsidRPr="007E305F" w:rsidRDefault="007E305F" w:rsidP="007E305F">
      <w:pPr>
        <w:jc w:val="both"/>
        <w:rPr>
          <w:b/>
          <w:color w:val="002060"/>
          <w:sz w:val="24"/>
          <w:szCs w:val="24"/>
        </w:rPr>
      </w:pPr>
      <w:bookmarkStart w:id="0" w:name="_GoBack"/>
      <w:r w:rsidRPr="007E305F">
        <w:rPr>
          <w:b/>
          <w:color w:val="002060"/>
          <w:sz w:val="24"/>
          <w:szCs w:val="24"/>
        </w:rPr>
        <w:t>Śr</w:t>
      </w:r>
      <w:r w:rsidR="00A0393B">
        <w:rPr>
          <w:b/>
          <w:color w:val="002060"/>
          <w:sz w:val="24"/>
          <w:szCs w:val="24"/>
        </w:rPr>
        <w:t xml:space="preserve">ednio dziesięciokrotne wzrosty </w:t>
      </w:r>
      <w:r w:rsidRPr="007E305F">
        <w:rPr>
          <w:b/>
          <w:color w:val="002060"/>
          <w:sz w:val="24"/>
          <w:szCs w:val="24"/>
        </w:rPr>
        <w:t>zapotrzebowania na pracowników w branży handlowej odnotowano w sezonie wakacyjnym ubiegłego roku.</w:t>
      </w:r>
      <w:r>
        <w:rPr>
          <w:b/>
          <w:color w:val="002060"/>
          <w:sz w:val="24"/>
          <w:szCs w:val="24"/>
        </w:rPr>
        <w:t xml:space="preserve"> </w:t>
      </w:r>
      <w:r w:rsidRPr="007E305F">
        <w:rPr>
          <w:b/>
          <w:color w:val="002060"/>
          <w:sz w:val="24"/>
          <w:szCs w:val="24"/>
        </w:rPr>
        <w:t xml:space="preserve">Braki kadrowe są spore, w III kwartale 2018 r. w handlu do obsadzenia było ponad 25 tys. wolnych stanowisk (GUS). Boomu na pracowników nie zahamowały nawet sklepy samoobsługowe, wycofywanie się niektórych sieci handlowych z Polski czy </w:t>
      </w:r>
      <w:r w:rsidR="00FA0D57">
        <w:rPr>
          <w:b/>
          <w:color w:val="002060"/>
          <w:sz w:val="24"/>
          <w:szCs w:val="24"/>
        </w:rPr>
        <w:t>ustawa ograniczająca handel</w:t>
      </w:r>
      <w:r w:rsidRPr="007E305F">
        <w:rPr>
          <w:b/>
          <w:color w:val="002060"/>
          <w:sz w:val="24"/>
          <w:szCs w:val="24"/>
        </w:rPr>
        <w:t xml:space="preserve"> w niedzielę. </w:t>
      </w:r>
    </w:p>
    <w:p w14:paraId="07E127D9" w14:textId="77777777" w:rsidR="007E305F" w:rsidRPr="007E305F" w:rsidRDefault="007E305F" w:rsidP="007E305F">
      <w:pPr>
        <w:jc w:val="both"/>
        <w:rPr>
          <w:b/>
          <w:color w:val="002060"/>
          <w:sz w:val="24"/>
          <w:szCs w:val="24"/>
        </w:rPr>
      </w:pPr>
    </w:p>
    <w:p w14:paraId="6611FA12" w14:textId="3D74CAF4" w:rsidR="007E305F" w:rsidRP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>Agencje rekrutacyjne dwoją się i troją by sprostać wyzwaniu</w:t>
      </w:r>
      <w:r w:rsidR="00A0393B">
        <w:rPr>
          <w:color w:val="002060"/>
          <w:sz w:val="24"/>
          <w:szCs w:val="24"/>
        </w:rPr>
        <w:t>,</w:t>
      </w:r>
      <w:r w:rsidRPr="007E305F">
        <w:rPr>
          <w:color w:val="002060"/>
          <w:sz w:val="24"/>
          <w:szCs w:val="24"/>
        </w:rPr>
        <w:t xml:space="preserve"> jakie stawia przed nimi branża handlowa. Zatrudnienie w tym sektorze charakteryzuje sezonowość i zmienność, jednak </w:t>
      </w:r>
      <w:r w:rsidR="00FA0D57">
        <w:rPr>
          <w:color w:val="002060"/>
          <w:sz w:val="24"/>
          <w:szCs w:val="24"/>
        </w:rPr>
        <w:t xml:space="preserve">zapotrzebowanie na nowych pracowników </w:t>
      </w:r>
      <w:r w:rsidRPr="007E305F">
        <w:rPr>
          <w:color w:val="002060"/>
          <w:sz w:val="24"/>
          <w:szCs w:val="24"/>
        </w:rPr>
        <w:t>cały czas jest</w:t>
      </w:r>
      <w:r w:rsidR="00FA0D57">
        <w:rPr>
          <w:color w:val="002060"/>
          <w:sz w:val="24"/>
          <w:szCs w:val="24"/>
        </w:rPr>
        <w:t xml:space="preserve"> </w:t>
      </w:r>
      <w:r w:rsidRPr="007E305F">
        <w:rPr>
          <w:color w:val="002060"/>
          <w:sz w:val="24"/>
          <w:szCs w:val="24"/>
        </w:rPr>
        <w:t xml:space="preserve"> spore. Rekrutacje prowadzone są bez przerwy. Jeśli tendencja z ubiegłych lat powtórzy się w 2019 r. już za 4 miesiące odnotujemy kolejny pik</w:t>
      </w:r>
      <w:r w:rsidR="00FA0D57">
        <w:rPr>
          <w:color w:val="002060"/>
          <w:sz w:val="24"/>
          <w:szCs w:val="24"/>
        </w:rPr>
        <w:t xml:space="preserve"> rekrutacyjny</w:t>
      </w:r>
      <w:r w:rsidRPr="007E305F">
        <w:rPr>
          <w:color w:val="002060"/>
          <w:sz w:val="24"/>
          <w:szCs w:val="24"/>
        </w:rPr>
        <w:t xml:space="preserve">, a zapotrzebowanie na pracowników w niektórych firmach i sieciach handlowych wzrośnie nawet dwudziestokrotnie. </w:t>
      </w:r>
    </w:p>
    <w:bookmarkEnd w:id="0"/>
    <w:p w14:paraId="760506BC" w14:textId="77777777" w:rsidR="007E305F" w:rsidRDefault="007E305F" w:rsidP="007E305F">
      <w:pPr>
        <w:jc w:val="both"/>
        <w:rPr>
          <w:color w:val="002060"/>
          <w:sz w:val="24"/>
          <w:szCs w:val="24"/>
        </w:rPr>
      </w:pPr>
    </w:p>
    <w:p w14:paraId="5AB363C6" w14:textId="39E0448C" w:rsidR="007E305F" w:rsidRDefault="007E305F" w:rsidP="007E305F">
      <w:pPr>
        <w:jc w:val="both"/>
        <w:rPr>
          <w:b/>
          <w:color w:val="002060"/>
          <w:sz w:val="24"/>
          <w:szCs w:val="24"/>
        </w:rPr>
      </w:pPr>
      <w:r w:rsidRPr="007E305F">
        <w:rPr>
          <w:b/>
          <w:color w:val="002060"/>
          <w:sz w:val="24"/>
          <w:szCs w:val="24"/>
        </w:rPr>
        <w:t>Nadchodzi pik rekrutacyjny</w:t>
      </w:r>
    </w:p>
    <w:p w14:paraId="6BB27836" w14:textId="77777777" w:rsidR="007E305F" w:rsidRPr="007E305F" w:rsidRDefault="007E305F" w:rsidP="007E305F">
      <w:pPr>
        <w:jc w:val="both"/>
        <w:rPr>
          <w:b/>
          <w:color w:val="002060"/>
          <w:sz w:val="24"/>
          <w:szCs w:val="24"/>
        </w:rPr>
      </w:pPr>
    </w:p>
    <w:p w14:paraId="6B9AE2D9" w14:textId="019D9C9E" w:rsid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>Według danych Grupy Progres zapotrzebowani</w:t>
      </w:r>
      <w:r w:rsidR="00556FFD">
        <w:rPr>
          <w:color w:val="002060"/>
          <w:sz w:val="24"/>
          <w:szCs w:val="24"/>
        </w:rPr>
        <w:t>e</w:t>
      </w:r>
      <w:r w:rsidRPr="007E305F">
        <w:rPr>
          <w:color w:val="002060"/>
          <w:sz w:val="24"/>
          <w:szCs w:val="24"/>
        </w:rPr>
        <w:t xml:space="preserve"> na pracowników w branży handlowej jest najwyższe w okresie wakacyjnym (czerwiec – wrzesień). Sieci handlowe, które w tym czasie nie chcą mieć problemów kadrowych</w:t>
      </w:r>
      <w:r w:rsidR="00556FFD">
        <w:rPr>
          <w:color w:val="002060"/>
          <w:sz w:val="24"/>
          <w:szCs w:val="24"/>
        </w:rPr>
        <w:t>,</w:t>
      </w:r>
      <w:r w:rsidRPr="007E305F">
        <w:rPr>
          <w:color w:val="002060"/>
          <w:sz w:val="24"/>
          <w:szCs w:val="24"/>
        </w:rPr>
        <w:t xml:space="preserve"> już teraz rozpoczynają projekty rekrutacyjne. W całym kraju poszukiwani są pracownicy tymczasowi - sprzedawcy, kasjerzy czy personel pomocniczy. </w:t>
      </w:r>
    </w:p>
    <w:p w14:paraId="2D106D5E" w14:textId="77777777" w:rsidR="007E305F" w:rsidRDefault="007E305F" w:rsidP="007E305F">
      <w:pPr>
        <w:jc w:val="both"/>
        <w:rPr>
          <w:color w:val="002060"/>
          <w:sz w:val="24"/>
          <w:szCs w:val="24"/>
        </w:rPr>
      </w:pPr>
    </w:p>
    <w:p w14:paraId="4C840C29" w14:textId="4370DBD5" w:rsidR="007E305F" w:rsidRP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 xml:space="preserve">- </w:t>
      </w:r>
      <w:r w:rsidRPr="007E305F">
        <w:rPr>
          <w:i/>
          <w:color w:val="002060"/>
          <w:sz w:val="24"/>
          <w:szCs w:val="24"/>
        </w:rPr>
        <w:t xml:space="preserve">Na </w:t>
      </w:r>
      <w:r>
        <w:rPr>
          <w:i/>
          <w:color w:val="002060"/>
          <w:sz w:val="24"/>
          <w:szCs w:val="24"/>
        </w:rPr>
        <w:t>ten moment</w:t>
      </w:r>
      <w:r w:rsidRPr="007E305F">
        <w:rPr>
          <w:i/>
          <w:color w:val="002060"/>
          <w:sz w:val="24"/>
          <w:szCs w:val="24"/>
        </w:rPr>
        <w:t xml:space="preserve"> nie zauważyliśmy spadku prowadzonych rekrutacji, które spowodowane byłyby na przykład wprowadzaniem wolnych od handlu niedziel czy wycofywania się z Polski sieci handlowych, jednak więcej pokaże nam zbliżający się sezon. Już teraz widać w</w:t>
      </w:r>
      <w:r>
        <w:rPr>
          <w:i/>
          <w:color w:val="002060"/>
          <w:sz w:val="24"/>
          <w:szCs w:val="24"/>
        </w:rPr>
        <w:t>zrost</w:t>
      </w:r>
      <w:r w:rsidRPr="007E305F">
        <w:rPr>
          <w:i/>
          <w:color w:val="002060"/>
          <w:sz w:val="24"/>
          <w:szCs w:val="24"/>
        </w:rPr>
        <w:t xml:space="preserve"> zapotrzebowani</w:t>
      </w:r>
      <w:r>
        <w:rPr>
          <w:i/>
          <w:color w:val="002060"/>
          <w:sz w:val="24"/>
          <w:szCs w:val="24"/>
        </w:rPr>
        <w:t>a</w:t>
      </w:r>
      <w:r w:rsidRPr="007E305F">
        <w:rPr>
          <w:i/>
          <w:color w:val="002060"/>
          <w:sz w:val="24"/>
          <w:szCs w:val="24"/>
        </w:rPr>
        <w:t xml:space="preserve"> na personel niższego szczebla czy pracowników magazynowych</w:t>
      </w:r>
      <w:r w:rsidRPr="007E305F">
        <w:rPr>
          <w:color w:val="002060"/>
          <w:sz w:val="24"/>
          <w:szCs w:val="24"/>
        </w:rPr>
        <w:t xml:space="preserve"> – mówi Iwona Szczykowska, Kierownik ds. kluczowych Klientów w Grupie Progres. – </w:t>
      </w:r>
      <w:r w:rsidRPr="007E305F">
        <w:rPr>
          <w:i/>
          <w:color w:val="002060"/>
          <w:sz w:val="24"/>
          <w:szCs w:val="24"/>
        </w:rPr>
        <w:t xml:space="preserve">Z naszych obserwacji wynika, że wspomniane niehandlowe niedziele, których tak się obawialiśmy, w przypadku pracowników zatrudnianych w dużych marketach spożywczych nie spowodowały spadku zatrudnienia. Jest wręcz przeciwnie, ich praca została zaplanowana tak, aby nikt nie został zwolniony. </w:t>
      </w:r>
      <w:r>
        <w:rPr>
          <w:i/>
          <w:color w:val="002060"/>
          <w:sz w:val="24"/>
          <w:szCs w:val="24"/>
        </w:rPr>
        <w:t>Cały</w:t>
      </w:r>
      <w:r w:rsidRPr="007E305F">
        <w:rPr>
          <w:i/>
          <w:color w:val="002060"/>
          <w:sz w:val="24"/>
          <w:szCs w:val="24"/>
        </w:rPr>
        <w:t xml:space="preserve"> czas otwierane są też nowe sklepy, a co za tym idzie powstają nowe miejsca pracy do obsadzenia</w:t>
      </w:r>
      <w:r w:rsidRPr="007E305F">
        <w:rPr>
          <w:color w:val="002060"/>
          <w:sz w:val="24"/>
          <w:szCs w:val="24"/>
        </w:rPr>
        <w:t xml:space="preserve"> – </w:t>
      </w:r>
      <w:bookmarkStart w:id="1" w:name="_Hlk346217"/>
      <w:r w:rsidRPr="007E305F">
        <w:rPr>
          <w:color w:val="002060"/>
          <w:sz w:val="24"/>
          <w:szCs w:val="24"/>
        </w:rPr>
        <w:t>podkreśla Iwona Szczykowska.</w:t>
      </w:r>
      <w:bookmarkEnd w:id="1"/>
    </w:p>
    <w:p w14:paraId="63BBB199" w14:textId="77777777" w:rsidR="00FA0D57" w:rsidRDefault="00FA0D57" w:rsidP="007E305F">
      <w:pPr>
        <w:jc w:val="both"/>
        <w:rPr>
          <w:b/>
          <w:color w:val="002060"/>
          <w:sz w:val="24"/>
          <w:szCs w:val="24"/>
        </w:rPr>
      </w:pPr>
    </w:p>
    <w:p w14:paraId="00D36A19" w14:textId="168E14AB" w:rsidR="007E305F" w:rsidRDefault="007E305F" w:rsidP="007E305F">
      <w:pPr>
        <w:jc w:val="both"/>
        <w:rPr>
          <w:b/>
          <w:color w:val="002060"/>
          <w:sz w:val="24"/>
          <w:szCs w:val="24"/>
        </w:rPr>
      </w:pPr>
      <w:r w:rsidRPr="007E305F">
        <w:rPr>
          <w:b/>
          <w:color w:val="002060"/>
          <w:sz w:val="24"/>
          <w:szCs w:val="24"/>
        </w:rPr>
        <w:t>Handlowcy z akcentem?</w:t>
      </w:r>
    </w:p>
    <w:p w14:paraId="16C8F8F9" w14:textId="77777777" w:rsidR="007E305F" w:rsidRPr="007E305F" w:rsidRDefault="007E305F" w:rsidP="007E305F">
      <w:pPr>
        <w:jc w:val="both"/>
        <w:rPr>
          <w:b/>
          <w:color w:val="002060"/>
          <w:sz w:val="24"/>
          <w:szCs w:val="24"/>
        </w:rPr>
      </w:pPr>
    </w:p>
    <w:p w14:paraId="4999F575" w14:textId="3E542DDE" w:rsidR="007E305F" w:rsidRP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 xml:space="preserve">Liczba rekrutowanych osób cały czas rośnie, jednak zmienił się nieco profil kandydata i w dużej mierze są to obcokrajowcy. </w:t>
      </w:r>
      <w:r w:rsidR="00FA0D57">
        <w:rPr>
          <w:color w:val="002060"/>
          <w:sz w:val="24"/>
          <w:szCs w:val="24"/>
        </w:rPr>
        <w:t>Ukraińcy</w:t>
      </w:r>
      <w:r w:rsidRPr="007E305F">
        <w:rPr>
          <w:color w:val="002060"/>
          <w:sz w:val="24"/>
          <w:szCs w:val="24"/>
        </w:rPr>
        <w:t xml:space="preserve"> zarabiający i chcący zarabiać w Polsce, w wielu przypadkach pracują dłużej niż Polacy. Średnia liczba RBH pracownika tymczasowego w przypadku osoby z Ukrainy wynosi 533 RBH, czyli o 177 RBH więcej niż w przypadku zatrudnionego tymczasowo Polaka. Zaangażowanie widać u obu płci – kobiety z Ukrainy </w:t>
      </w:r>
      <w:r w:rsidRPr="007E305F">
        <w:rPr>
          <w:color w:val="002060"/>
          <w:sz w:val="24"/>
          <w:szCs w:val="24"/>
        </w:rPr>
        <w:lastRenderedPageBreak/>
        <w:t xml:space="preserve">pracują, średnio 537 RBH, Polki znacznie mniej, bo 375 RBH. Mężczyźni z Ukrainy na pracę poświęcają średnio 526 RBH, podczas gdy Polacy 355 RBH. Najbardziej aktywni zawodowo są Ukraińcy w wieku od 31 do 40 lat, średnio każdy z 2031 zatrudnionych przepracowuje 571 RBH, w przypadku Polaków w tym samym wieku jest to średnio 418 RBH. Równie dużo pracują 51-60-latkowie, bo aż 559 RBH, jednak w tym przypadku jeszcze więcej pracują Polacy, bo aż 591 RBH, podobnie jest wśród 61-70-latków – obie narodowości spędzają w pracy ponad 500 RBH, przy czym Polacy 548 RBH, a Ukraińcy 507 RBH. </w:t>
      </w:r>
      <w:r w:rsidR="00FA0D57">
        <w:rPr>
          <w:color w:val="002060"/>
          <w:sz w:val="24"/>
          <w:szCs w:val="24"/>
        </w:rPr>
        <w:t>Aktywność młodych pracowników tymczasowych jest mniejsza.</w:t>
      </w:r>
      <w:r w:rsidRPr="007E305F">
        <w:rPr>
          <w:color w:val="002060"/>
          <w:sz w:val="24"/>
          <w:szCs w:val="24"/>
        </w:rPr>
        <w:t xml:space="preserve"> W grupie 21-30 latków z Ukrainy średnia liczba roboczogodzin na osobę wynosi 530 RBH, u Polaków 361 RBH. Najmniej czasu na pracę poświęcają osoby poniżej 21 roku życia – 365 RBH w przypadku młodych Ukraińców i 180 RBH w przypadku Polaków. </w:t>
      </w:r>
    </w:p>
    <w:p w14:paraId="5E3E7731" w14:textId="77777777" w:rsidR="007E305F" w:rsidRDefault="007E305F" w:rsidP="007E305F">
      <w:pPr>
        <w:jc w:val="both"/>
        <w:rPr>
          <w:color w:val="002060"/>
          <w:sz w:val="24"/>
          <w:szCs w:val="24"/>
        </w:rPr>
      </w:pPr>
    </w:p>
    <w:p w14:paraId="326A6212" w14:textId="1DE0D0E1" w:rsidR="007E305F" w:rsidRDefault="007E305F" w:rsidP="007E305F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Kiedyś</w:t>
      </w:r>
      <w:r w:rsidRPr="007E305F">
        <w:rPr>
          <w:b/>
          <w:color w:val="002060"/>
          <w:sz w:val="24"/>
          <w:szCs w:val="24"/>
        </w:rPr>
        <w:t xml:space="preserve"> będę handlowcem</w:t>
      </w:r>
    </w:p>
    <w:p w14:paraId="5B422C3A" w14:textId="77777777" w:rsidR="007E305F" w:rsidRPr="007E305F" w:rsidRDefault="007E305F" w:rsidP="007E305F">
      <w:pPr>
        <w:jc w:val="both"/>
        <w:rPr>
          <w:b/>
          <w:color w:val="002060"/>
          <w:sz w:val="24"/>
          <w:szCs w:val="24"/>
        </w:rPr>
      </w:pPr>
    </w:p>
    <w:p w14:paraId="3641264E" w14:textId="1FF6C9DD" w:rsid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 xml:space="preserve">- </w:t>
      </w:r>
      <w:r w:rsidRPr="007E305F">
        <w:rPr>
          <w:i/>
          <w:color w:val="002060"/>
          <w:sz w:val="24"/>
          <w:szCs w:val="24"/>
        </w:rPr>
        <w:t>Wśród wymienianych przez kandydatów zalet pracy w handlu</w:t>
      </w:r>
      <w:r>
        <w:rPr>
          <w:i/>
          <w:color w:val="002060"/>
          <w:sz w:val="24"/>
          <w:szCs w:val="24"/>
        </w:rPr>
        <w:t xml:space="preserve">, które przekonują ich do rozwoju kariery w tej branży, </w:t>
      </w:r>
      <w:r w:rsidRPr="007E305F">
        <w:rPr>
          <w:i/>
          <w:color w:val="002060"/>
          <w:sz w:val="24"/>
          <w:szCs w:val="24"/>
        </w:rPr>
        <w:t xml:space="preserve">znajdują się elastyczne godziny pracy </w:t>
      </w:r>
      <w:r w:rsidR="00FA0D57">
        <w:rPr>
          <w:i/>
          <w:color w:val="002060"/>
          <w:sz w:val="24"/>
          <w:szCs w:val="24"/>
        </w:rPr>
        <w:t>oraz</w:t>
      </w:r>
      <w:r w:rsidRPr="007E305F">
        <w:rPr>
          <w:i/>
          <w:color w:val="002060"/>
          <w:sz w:val="24"/>
          <w:szCs w:val="24"/>
        </w:rPr>
        <w:t xml:space="preserve"> możliwość dopasowania grafiku. Zapotrzebowanie na pracowników niższego szczebla tj. personel pomocniczy, pracownicy magazynowi jest nadal wysokie, co powoduje, że pracodawcy stali się bardziej elastyczni. Często są w stanie dopasować charakter pracy</w:t>
      </w:r>
      <w:r w:rsidR="003F74BC">
        <w:rPr>
          <w:i/>
          <w:color w:val="002060"/>
          <w:sz w:val="24"/>
          <w:szCs w:val="24"/>
        </w:rPr>
        <w:t xml:space="preserve"> </w:t>
      </w:r>
      <w:r w:rsidRPr="007E305F">
        <w:rPr>
          <w:i/>
          <w:color w:val="002060"/>
          <w:sz w:val="24"/>
          <w:szCs w:val="24"/>
        </w:rPr>
        <w:t>czy zakres obowiązków pod konkretnego pracownika</w:t>
      </w:r>
      <w:r>
        <w:rPr>
          <w:i/>
          <w:color w:val="002060"/>
          <w:sz w:val="24"/>
          <w:szCs w:val="24"/>
        </w:rPr>
        <w:t>, co również postrzegane jest jako plus</w:t>
      </w:r>
      <w:r w:rsidRPr="007E305F">
        <w:rPr>
          <w:i/>
          <w:color w:val="002060"/>
          <w:sz w:val="24"/>
          <w:szCs w:val="24"/>
        </w:rPr>
        <w:t xml:space="preserve"> -</w:t>
      </w:r>
      <w:r w:rsidRPr="007E305F">
        <w:rPr>
          <w:color w:val="002060"/>
          <w:sz w:val="24"/>
          <w:szCs w:val="24"/>
        </w:rPr>
        <w:t xml:space="preserve"> mówi Iwona Szczykowska. - </w:t>
      </w:r>
      <w:r w:rsidRPr="007E305F">
        <w:rPr>
          <w:i/>
          <w:color w:val="002060"/>
          <w:sz w:val="24"/>
          <w:szCs w:val="24"/>
        </w:rPr>
        <w:t>Kolejną zaletą jest możliwość wypracowania nadgodzin, uzyskania premii, co wiąże się z wyższym wynagrodzeniem. Oczywiście w tym przypadku wiele zależy od lokalizacji. Są regiony Polski, gdzie rekrutacje są zdecydowanie trudniejsze, jest duże nasycenie rynku, ogromna konkurencja i niska stopa bezrobocia, wtedy proponowane stawki to ponad trzy tys. zł brutto, w rejonach „łatwiejszych” wynagrodzenie jest kilkaset złotych niższe – 2, 4 tys. zł – 2,6 tys. zł brutto plus premie –</w:t>
      </w:r>
      <w:r>
        <w:rPr>
          <w:i/>
          <w:color w:val="002060"/>
          <w:sz w:val="24"/>
          <w:szCs w:val="24"/>
        </w:rPr>
        <w:t xml:space="preserve"> </w:t>
      </w:r>
      <w:r w:rsidRPr="007E305F">
        <w:rPr>
          <w:color w:val="002060"/>
          <w:sz w:val="24"/>
          <w:szCs w:val="24"/>
        </w:rPr>
        <w:t>zaznacza Iwona Szczykowska.</w:t>
      </w:r>
    </w:p>
    <w:p w14:paraId="143E5A93" w14:textId="77777777" w:rsidR="007E305F" w:rsidRPr="007E305F" w:rsidRDefault="007E305F" w:rsidP="007E305F">
      <w:pPr>
        <w:jc w:val="both"/>
        <w:rPr>
          <w:i/>
          <w:color w:val="002060"/>
          <w:sz w:val="24"/>
          <w:szCs w:val="24"/>
        </w:rPr>
      </w:pPr>
    </w:p>
    <w:p w14:paraId="7C674909" w14:textId="5CEC1EC4" w:rsid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>Zainteresowanie kandydatów ofert</w:t>
      </w:r>
      <w:r>
        <w:rPr>
          <w:color w:val="002060"/>
          <w:sz w:val="24"/>
          <w:szCs w:val="24"/>
        </w:rPr>
        <w:t>ą</w:t>
      </w:r>
      <w:r w:rsidRPr="007E305F">
        <w:rPr>
          <w:color w:val="002060"/>
          <w:sz w:val="24"/>
          <w:szCs w:val="24"/>
        </w:rPr>
        <w:t xml:space="preserve"> pracy różni się w zależności od stanowiska. Z danych Grupy Progres za 2018 r. wynika, że największ</w:t>
      </w:r>
      <w:r>
        <w:rPr>
          <w:color w:val="002060"/>
          <w:sz w:val="24"/>
          <w:szCs w:val="24"/>
        </w:rPr>
        <w:t xml:space="preserve">ą popularnością </w:t>
      </w:r>
      <w:r w:rsidRPr="007E305F">
        <w:rPr>
          <w:color w:val="002060"/>
          <w:sz w:val="24"/>
          <w:szCs w:val="24"/>
        </w:rPr>
        <w:t>cieszą się oferty pracy w zawodzie przedstawiciela handlowego, doradcy handlowo-technicznego czy kierownika sklepu. W przypadku tego typu stanowisk liczba kandydatów niejednokrotnie</w:t>
      </w:r>
      <w:r w:rsidR="00FA0D57">
        <w:rPr>
          <w:color w:val="002060"/>
          <w:sz w:val="24"/>
          <w:szCs w:val="24"/>
        </w:rPr>
        <w:t xml:space="preserve"> sięga</w:t>
      </w:r>
      <w:r w:rsidRPr="007E305F">
        <w:rPr>
          <w:color w:val="002060"/>
          <w:sz w:val="24"/>
          <w:szCs w:val="24"/>
        </w:rPr>
        <w:t xml:space="preserve"> ponad 100 osób</w:t>
      </w:r>
      <w:r w:rsidR="00FA0D57">
        <w:rPr>
          <w:color w:val="002060"/>
          <w:sz w:val="24"/>
          <w:szCs w:val="24"/>
        </w:rPr>
        <w:t xml:space="preserve">. </w:t>
      </w:r>
      <w:r w:rsidRPr="007E305F">
        <w:rPr>
          <w:color w:val="002060"/>
          <w:sz w:val="24"/>
          <w:szCs w:val="24"/>
        </w:rPr>
        <w:t xml:space="preserve">Stanowiska niższego szczebla są trochę mniej popularne, a na rozmowy kwalifikacyjne zgłasza się średnio kilkanaście osób. Wśród nich znajdują się osoby starsze, które chcą dorobić do emerytury. </w:t>
      </w:r>
      <w:r>
        <w:rPr>
          <w:color w:val="002060"/>
          <w:sz w:val="24"/>
          <w:szCs w:val="24"/>
        </w:rPr>
        <w:t>N</w:t>
      </w:r>
      <w:r w:rsidRPr="007E305F">
        <w:rPr>
          <w:color w:val="002060"/>
          <w:sz w:val="24"/>
          <w:szCs w:val="24"/>
        </w:rPr>
        <w:t xml:space="preserve">ajczęściej pracują </w:t>
      </w:r>
      <w:r>
        <w:rPr>
          <w:color w:val="002060"/>
          <w:sz w:val="24"/>
          <w:szCs w:val="24"/>
        </w:rPr>
        <w:t xml:space="preserve">one </w:t>
      </w:r>
      <w:r w:rsidRPr="007E305F">
        <w:rPr>
          <w:color w:val="002060"/>
          <w:sz w:val="24"/>
          <w:szCs w:val="24"/>
        </w:rPr>
        <w:t>na podstawie umowy cywilno-prawnej (82 proc.), pozostali podpisują umowę o pracę (18 proc.). Podejmowana aktywność zawodowa pozwala im załatać dziury w domowym budżecie. W ubiegłym roku statystyczny Polak z grupy 61 – 70 lat zarobił w pracy tymczasowej w sumie 7 561 zł brutto. Więcej zarobiły panie – średnio każda z nich powiększyła swój roczny budżet o 7 696 zł brutto, statystyczny pan do emerytury dorobił w sumie 7 398 zł brutto. Osoby powyżej 71 r.ż. pracując tymczasowo zarobiły średnio 7 178 zł brutto, w przypadku kobiet łączne dochody wyniosły 7 808 zł brutto, w przypadku mężczyzn, średnio 5 302 zł brutto.</w:t>
      </w:r>
    </w:p>
    <w:p w14:paraId="6AD488D5" w14:textId="77777777" w:rsidR="007E305F" w:rsidRPr="007E305F" w:rsidRDefault="007E305F" w:rsidP="007E305F">
      <w:pPr>
        <w:jc w:val="both"/>
        <w:rPr>
          <w:color w:val="002060"/>
          <w:sz w:val="24"/>
          <w:szCs w:val="24"/>
        </w:rPr>
      </w:pPr>
    </w:p>
    <w:p w14:paraId="2169E225" w14:textId="77777777" w:rsidR="007E305F" w:rsidRPr="007E305F" w:rsidRDefault="007E305F" w:rsidP="007E305F">
      <w:pPr>
        <w:jc w:val="both"/>
        <w:rPr>
          <w:color w:val="002060"/>
          <w:sz w:val="24"/>
          <w:szCs w:val="24"/>
        </w:rPr>
      </w:pPr>
      <w:r w:rsidRPr="007E305F">
        <w:rPr>
          <w:color w:val="002060"/>
          <w:sz w:val="24"/>
          <w:szCs w:val="24"/>
        </w:rPr>
        <w:t xml:space="preserve">W informacji wykorzystano dane Grupy Progres za rok 2017 i pierwszą połowę 2018 r. analizujące 19 796 pracowników tymczasowych z Polski oraz dane Grupy Progres za 2018 r. analizujące 28 330 aplikacji na oferowane stanowiska.  </w:t>
      </w:r>
    </w:p>
    <w:p w14:paraId="64B16F73" w14:textId="77777777" w:rsidR="00FB77FC" w:rsidRPr="00E05548" w:rsidRDefault="00FB77FC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91FA" w14:textId="77777777" w:rsidR="00532E69" w:rsidRDefault="00532E69" w:rsidP="00B332FF">
      <w:r>
        <w:separator/>
      </w:r>
    </w:p>
  </w:endnote>
  <w:endnote w:type="continuationSeparator" w:id="0">
    <w:p w14:paraId="139093C2" w14:textId="77777777" w:rsidR="00532E69" w:rsidRDefault="00532E69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E108" w14:textId="77777777" w:rsidR="007E305F" w:rsidRDefault="007E3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D90C" w14:textId="77777777" w:rsidR="007E305F" w:rsidRDefault="007E3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C173" w14:textId="77777777" w:rsidR="00532E69" w:rsidRDefault="00532E69" w:rsidP="00B332FF">
      <w:r>
        <w:separator/>
      </w:r>
    </w:p>
  </w:footnote>
  <w:footnote w:type="continuationSeparator" w:id="0">
    <w:p w14:paraId="0623B78F" w14:textId="77777777" w:rsidR="00532E69" w:rsidRDefault="00532E69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5BA1" w14:textId="77777777" w:rsidR="007E305F" w:rsidRDefault="007E3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7D4C" w14:textId="77777777" w:rsidR="007E305F" w:rsidRDefault="007E3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539C8"/>
    <w:rsid w:val="000924FC"/>
    <w:rsid w:val="000B2757"/>
    <w:rsid w:val="000D60DF"/>
    <w:rsid w:val="000E6326"/>
    <w:rsid w:val="000F2184"/>
    <w:rsid w:val="001126CB"/>
    <w:rsid w:val="00114250"/>
    <w:rsid w:val="001834B1"/>
    <w:rsid w:val="001A75A5"/>
    <w:rsid w:val="00231305"/>
    <w:rsid w:val="002547CE"/>
    <w:rsid w:val="002756D4"/>
    <w:rsid w:val="002A1444"/>
    <w:rsid w:val="00391CE0"/>
    <w:rsid w:val="003B2C2A"/>
    <w:rsid w:val="003F74BC"/>
    <w:rsid w:val="00404436"/>
    <w:rsid w:val="00465B97"/>
    <w:rsid w:val="004815B8"/>
    <w:rsid w:val="004E3C8A"/>
    <w:rsid w:val="004F1E0F"/>
    <w:rsid w:val="00512F62"/>
    <w:rsid w:val="00516A5A"/>
    <w:rsid w:val="005262E5"/>
    <w:rsid w:val="00532E69"/>
    <w:rsid w:val="00540F74"/>
    <w:rsid w:val="00556FFD"/>
    <w:rsid w:val="005572DC"/>
    <w:rsid w:val="00572EF3"/>
    <w:rsid w:val="0059056F"/>
    <w:rsid w:val="00596452"/>
    <w:rsid w:val="005B0842"/>
    <w:rsid w:val="00655E17"/>
    <w:rsid w:val="00670266"/>
    <w:rsid w:val="006751EB"/>
    <w:rsid w:val="006E657F"/>
    <w:rsid w:val="00733113"/>
    <w:rsid w:val="007C0AE6"/>
    <w:rsid w:val="007C7859"/>
    <w:rsid w:val="007D1FD1"/>
    <w:rsid w:val="007E305F"/>
    <w:rsid w:val="007F55BA"/>
    <w:rsid w:val="00817DE1"/>
    <w:rsid w:val="008304A1"/>
    <w:rsid w:val="0083476D"/>
    <w:rsid w:val="0088277C"/>
    <w:rsid w:val="0089087A"/>
    <w:rsid w:val="008B7179"/>
    <w:rsid w:val="00974C5D"/>
    <w:rsid w:val="009A75F4"/>
    <w:rsid w:val="009C23BE"/>
    <w:rsid w:val="009E5B91"/>
    <w:rsid w:val="009F7EC3"/>
    <w:rsid w:val="00A0393B"/>
    <w:rsid w:val="00A22AC8"/>
    <w:rsid w:val="00A31144"/>
    <w:rsid w:val="00A56124"/>
    <w:rsid w:val="00A636C7"/>
    <w:rsid w:val="00A7049D"/>
    <w:rsid w:val="00A87FE3"/>
    <w:rsid w:val="00B332FF"/>
    <w:rsid w:val="00B671EF"/>
    <w:rsid w:val="00BE1F69"/>
    <w:rsid w:val="00BE7867"/>
    <w:rsid w:val="00D24642"/>
    <w:rsid w:val="00DF5583"/>
    <w:rsid w:val="00E05548"/>
    <w:rsid w:val="00E50747"/>
    <w:rsid w:val="00E65520"/>
    <w:rsid w:val="00E8569E"/>
    <w:rsid w:val="00EC74E8"/>
    <w:rsid w:val="00ED62E3"/>
    <w:rsid w:val="00F1211C"/>
    <w:rsid w:val="00F125CF"/>
    <w:rsid w:val="00F44C66"/>
    <w:rsid w:val="00FA0D57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7C75098D-8237-444A-A5BC-AE4D047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93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93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82CD-60A6-467B-9F25-074C77DC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2018-10-09T07:31:00Z</cp:lastPrinted>
  <dcterms:created xsi:type="dcterms:W3CDTF">2019-02-06T13:31:00Z</dcterms:created>
  <dcterms:modified xsi:type="dcterms:W3CDTF">2019-02-18T10:09:00Z</dcterms:modified>
</cp:coreProperties>
</file>